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B860" w14:textId="50E9B7ED" w:rsidR="00E83AB7" w:rsidRDefault="00BE7D5E" w:rsidP="006B7744">
      <w:pPr>
        <w:pStyle w:val="Titolo1"/>
        <w:spacing w:after="394"/>
        <w:ind w:left="18"/>
        <w:jc w:val="center"/>
      </w:pPr>
      <w:r>
        <w:t>PRIVACY STATEMENT PURSUANT TO ARTICLE 13 OF REGULATION (EU) NO 679/2016 OF 27 APRIL 2016</w:t>
      </w:r>
    </w:p>
    <w:p w14:paraId="5386CD65" w14:textId="3BAEDA0B" w:rsidR="00ED6766" w:rsidRDefault="00BE7D5E" w:rsidP="00ED6766">
      <w:pPr>
        <w:spacing w:after="0" w:line="247" w:lineRule="auto"/>
        <w:ind w:left="17" w:hanging="11"/>
        <w:jc w:val="both"/>
        <w:rPr>
          <w:rFonts w:ascii="Cambria" w:eastAsia="Cambria" w:hAnsi="Cambria" w:cs="Cambria"/>
        </w:rPr>
      </w:pPr>
      <w:r>
        <w:rPr>
          <w:rFonts w:ascii="Cambria" w:hAnsi="Cambria"/>
        </w:rPr>
        <w:t>This privacy policy is issued pursuant to Art. 13 of Regulation (EU) 2016/679 of hereinafter the ‘Regulation’) on the protection of natural persons with regard to the processing of personal data and compliance with the legislation on the processing of personal data and the free movement of such data.</w:t>
      </w:r>
    </w:p>
    <w:p w14:paraId="277ACA80" w14:textId="3DAA2781" w:rsidR="00ED6766" w:rsidRPr="00C21CA5" w:rsidRDefault="003D42CE" w:rsidP="00ED6766">
      <w:pPr>
        <w:spacing w:after="0" w:line="247" w:lineRule="auto"/>
        <w:ind w:left="17" w:hanging="11"/>
        <w:jc w:val="both"/>
        <w:rPr>
          <w:rFonts w:ascii="Cambria" w:eastAsia="Cambria" w:hAnsi="Cambria" w:cs="Cambria"/>
          <w:b/>
          <w:bCs/>
          <w:color w:val="auto"/>
        </w:rPr>
      </w:pPr>
      <w:r>
        <w:rPr>
          <w:rFonts w:ascii="Cambria" w:hAnsi="Cambria"/>
          <w:b/>
          <w:color w:val="auto"/>
        </w:rPr>
        <w:t xml:space="preserve">This privacy statement refers to the administrative processes of enrolment on and awarding degrees for the Masters (Levels I and II) and specialisation courses at the </w:t>
      </w:r>
      <w:proofErr w:type="spellStart"/>
      <w:r>
        <w:rPr>
          <w:rFonts w:ascii="Cambria" w:hAnsi="Cambria"/>
          <w:b/>
          <w:color w:val="auto"/>
        </w:rPr>
        <w:t>Politecnico</w:t>
      </w:r>
      <w:proofErr w:type="spellEnd"/>
      <w:r>
        <w:rPr>
          <w:rFonts w:ascii="Cambria" w:hAnsi="Cambria"/>
          <w:b/>
          <w:color w:val="auto"/>
        </w:rPr>
        <w:t xml:space="preserve"> di Milano.</w:t>
      </w:r>
    </w:p>
    <w:p w14:paraId="3FDEA9F3" w14:textId="77777777" w:rsidR="00ED6766" w:rsidRPr="00ED6766" w:rsidRDefault="00ED6766" w:rsidP="00ED6766">
      <w:pPr>
        <w:spacing w:after="0" w:line="247" w:lineRule="auto"/>
        <w:ind w:left="17" w:hanging="11"/>
        <w:jc w:val="both"/>
        <w:rPr>
          <w:rFonts w:ascii="Cambria" w:eastAsia="Cambria" w:hAnsi="Cambria" w:cs="Cambria"/>
          <w:color w:val="FF0000"/>
        </w:rPr>
      </w:pPr>
    </w:p>
    <w:p w14:paraId="555507D7" w14:textId="77777777" w:rsidR="00E83AB7" w:rsidRDefault="00BE7D5E">
      <w:pPr>
        <w:pStyle w:val="Titolo1"/>
        <w:ind w:left="18"/>
      </w:pPr>
      <w:r>
        <w:t xml:space="preserve">Data Controller </w:t>
      </w:r>
    </w:p>
    <w:p w14:paraId="3A1AB85E" w14:textId="02B35754" w:rsidR="00E83AB7" w:rsidRDefault="00BE7D5E">
      <w:pPr>
        <w:spacing w:after="249" w:line="248" w:lineRule="auto"/>
        <w:ind w:left="13" w:hanging="10"/>
        <w:jc w:val="both"/>
      </w:pPr>
      <w:r>
        <w:rPr>
          <w:rFonts w:ascii="Cambria" w:hAnsi="Cambria"/>
        </w:rPr>
        <w:t xml:space="preserve">The Data Controller is the </w:t>
      </w:r>
      <w:proofErr w:type="spellStart"/>
      <w:r>
        <w:rPr>
          <w:rFonts w:ascii="Cambria" w:hAnsi="Cambria"/>
        </w:rPr>
        <w:t>Politecnico</w:t>
      </w:r>
      <w:proofErr w:type="spellEnd"/>
      <w:r>
        <w:rPr>
          <w:rFonts w:ascii="Cambria" w:hAnsi="Cambria"/>
        </w:rPr>
        <w:t xml:space="preserve"> di Milano, in the figure of</w:t>
      </w:r>
      <w:r>
        <w:rPr>
          <w:rFonts w:ascii="Times New Roman" w:hAnsi="Times New Roman"/>
          <w:color w:val="FF0000"/>
        </w:rPr>
        <w:t xml:space="preserve"> </w:t>
      </w:r>
      <w:r>
        <w:t xml:space="preserve">the </w:t>
      </w:r>
      <w:r>
        <w:rPr>
          <w:rFonts w:ascii="Cambria" w:hAnsi="Cambria"/>
        </w:rPr>
        <w:t xml:space="preserve">General Director delegated by the pro tempore Rector, contact: </w:t>
      </w:r>
      <w:r>
        <w:rPr>
          <w:rFonts w:ascii="Cambria" w:hAnsi="Cambria"/>
          <w:color w:val="0000FF"/>
          <w:u w:val="single" w:color="0000FF"/>
        </w:rPr>
        <w:t>dirgen@polimi.it</w:t>
      </w:r>
      <w:r>
        <w:rPr>
          <w:rFonts w:ascii="Times New Roman" w:hAnsi="Times New Roman"/>
        </w:rPr>
        <w:t xml:space="preserve">. </w:t>
      </w:r>
      <w:r>
        <w:rPr>
          <w:rFonts w:ascii="Times New Roman" w:hAnsi="Times New Roman"/>
          <w:color w:val="FF0000"/>
        </w:rPr>
        <w:t xml:space="preserve"> </w:t>
      </w:r>
    </w:p>
    <w:p w14:paraId="5155B469" w14:textId="13B55C36" w:rsidR="00E83AB7" w:rsidRDefault="00261D6A">
      <w:pPr>
        <w:pStyle w:val="Titolo1"/>
        <w:ind w:left="18"/>
      </w:pPr>
      <w:r>
        <w:t xml:space="preserve">Data Protection Officer and contact points  </w:t>
      </w:r>
    </w:p>
    <w:p w14:paraId="5FF6F51D" w14:textId="0E68E5B1" w:rsidR="00E83AB7" w:rsidRPr="00A374C1" w:rsidRDefault="008675EA">
      <w:pPr>
        <w:spacing w:after="249" w:line="248" w:lineRule="auto"/>
        <w:ind w:left="13" w:hanging="10"/>
        <w:jc w:val="both"/>
        <w:rPr>
          <w:color w:val="auto"/>
          <w:lang w:val="it-IT"/>
        </w:rPr>
      </w:pPr>
      <w:r w:rsidRPr="00A374C1">
        <w:rPr>
          <w:lang w:val="it-IT"/>
        </w:rPr>
        <w:t>E-</w:t>
      </w:r>
      <w:r w:rsidRPr="00A374C1">
        <w:rPr>
          <w:rFonts w:ascii="Cambria" w:hAnsi="Cambria"/>
          <w:color w:val="auto"/>
          <w:lang w:val="it-IT"/>
        </w:rPr>
        <w:t xml:space="preserve">mail: </w:t>
      </w:r>
      <w:r w:rsidR="00ED099B">
        <w:fldChar w:fldCharType="begin"/>
      </w:r>
      <w:r w:rsidR="00ED099B" w:rsidRPr="006F640C">
        <w:rPr>
          <w:lang w:val="it-IT"/>
        </w:rPr>
        <w:instrText xml:space="preserve"> HYPERLINK "mailto:privacy@polimi.it" </w:instrText>
      </w:r>
      <w:r w:rsidR="00ED099B">
        <w:fldChar w:fldCharType="separate"/>
      </w:r>
      <w:r w:rsidRPr="00A374C1">
        <w:rPr>
          <w:rStyle w:val="Collegamentoipertestuale"/>
          <w:rFonts w:ascii="Cambria" w:hAnsi="Cambria"/>
          <w:lang w:val="it-IT"/>
        </w:rPr>
        <w:t>privacy@polimi.it</w:t>
      </w:r>
      <w:r w:rsidR="00ED099B">
        <w:rPr>
          <w:rStyle w:val="Collegamentoipertestuale"/>
          <w:rFonts w:ascii="Cambria" w:hAnsi="Cambria"/>
          <w:lang w:val="it-IT"/>
        </w:rPr>
        <w:fldChar w:fldCharType="end"/>
      </w:r>
      <w:r w:rsidRPr="00A374C1">
        <w:rPr>
          <w:rFonts w:ascii="Cambria" w:hAnsi="Cambria"/>
          <w:color w:val="auto"/>
          <w:lang w:val="it-IT"/>
        </w:rPr>
        <w:t xml:space="preserve">. </w:t>
      </w:r>
    </w:p>
    <w:p w14:paraId="6106A922" w14:textId="77777777" w:rsidR="002B5B04" w:rsidRDefault="00BE7D5E" w:rsidP="002B5B04">
      <w:pPr>
        <w:spacing w:after="0"/>
        <w:ind w:left="17" w:hanging="11"/>
        <w:jc w:val="both"/>
        <w:rPr>
          <w:rFonts w:ascii="Cambria" w:eastAsia="Cambria" w:hAnsi="Cambria" w:cs="Cambria"/>
          <w:b/>
          <w:sz w:val="24"/>
        </w:rPr>
      </w:pPr>
      <w:r>
        <w:rPr>
          <w:rFonts w:ascii="Cambria" w:hAnsi="Cambria"/>
          <w:b/>
          <w:sz w:val="24"/>
        </w:rPr>
        <w:t xml:space="preserve">Purpose of data processing, legal basis, categories of data and retention period. </w:t>
      </w:r>
    </w:p>
    <w:p w14:paraId="5B31408A" w14:textId="2F9555C4" w:rsidR="00EE566E" w:rsidRPr="00BB0705" w:rsidRDefault="00EE566E" w:rsidP="00EE566E">
      <w:pPr>
        <w:spacing w:after="0" w:line="240" w:lineRule="auto"/>
        <w:jc w:val="both"/>
        <w:rPr>
          <w:rFonts w:ascii="Cambria" w:hAnsi="Cambria" w:cs="Arial"/>
        </w:rPr>
      </w:pPr>
      <w:r>
        <w:rPr>
          <w:rFonts w:ascii="Cambria" w:hAnsi="Cambria"/>
        </w:rPr>
        <w:t>For the purposes of the application of the relevant European and national legislation (EU Regulation), we inform you that your personal data will be used for the following purposes:</w:t>
      </w:r>
    </w:p>
    <w:p w14:paraId="6FFF97B3" w14:textId="3B6BB20D" w:rsidR="00EE566E" w:rsidRDefault="00EE566E" w:rsidP="002B5B04">
      <w:pPr>
        <w:spacing w:after="0"/>
        <w:ind w:left="17" w:hanging="11"/>
        <w:jc w:val="both"/>
        <w:rPr>
          <w:rFonts w:ascii="Cambria" w:eastAsia="Cambria" w:hAnsi="Cambria" w:cs="Cambria"/>
        </w:rPr>
      </w:pPr>
    </w:p>
    <w:tbl>
      <w:tblPr>
        <w:tblStyle w:val="Tabellagriglia1chiara-colore1"/>
        <w:tblW w:w="9781" w:type="dxa"/>
        <w:tblInd w:w="-5" w:type="dxa"/>
        <w:tblLook w:val="06A0" w:firstRow="1" w:lastRow="0" w:firstColumn="1" w:lastColumn="0" w:noHBand="1" w:noVBand="1"/>
      </w:tblPr>
      <w:tblGrid>
        <w:gridCol w:w="2444"/>
        <w:gridCol w:w="2801"/>
        <w:gridCol w:w="2410"/>
        <w:gridCol w:w="2126"/>
      </w:tblGrid>
      <w:tr w:rsidR="00E639B8" w:rsidRPr="00AE0071" w14:paraId="09957500" w14:textId="77777777" w:rsidTr="008C384E">
        <w:trPr>
          <w:cnfStyle w:val="100000000000" w:firstRow="1" w:lastRow="0" w:firstColumn="0" w:lastColumn="0" w:oddVBand="0" w:evenVBand="0" w:oddHBand="0"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44" w:type="dxa"/>
            <w:vAlign w:val="center"/>
          </w:tcPr>
          <w:p w14:paraId="6853266A" w14:textId="72D19F00" w:rsidR="00AD4CFE" w:rsidRPr="00AE0071" w:rsidRDefault="00AD4CFE" w:rsidP="00DA54B9">
            <w:pPr>
              <w:spacing w:line="259" w:lineRule="auto"/>
              <w:rPr>
                <w:rFonts w:asciiTheme="minorHAnsi" w:eastAsiaTheme="minorHAnsi" w:hAnsiTheme="minorHAnsi" w:cstheme="minorBidi"/>
                <w:bCs w:val="0"/>
                <w:color w:val="auto"/>
              </w:rPr>
            </w:pPr>
            <w:r>
              <w:rPr>
                <w:rFonts w:ascii="Cambria" w:hAnsi="Cambria"/>
                <w:color w:val="auto"/>
              </w:rPr>
              <w:t>Purpose of the processing</w:t>
            </w:r>
          </w:p>
        </w:tc>
        <w:tc>
          <w:tcPr>
            <w:tcW w:w="2801" w:type="dxa"/>
            <w:vAlign w:val="center"/>
          </w:tcPr>
          <w:p w14:paraId="58F5A70B" w14:textId="4F7454BC" w:rsidR="00AD4CFE" w:rsidRPr="00AE0071" w:rsidRDefault="00AD4CFE" w:rsidP="00EE566E">
            <w:pPr>
              <w:spacing w:line="259"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color w:val="auto"/>
              </w:rPr>
            </w:pPr>
            <w:r>
              <w:rPr>
                <w:rFonts w:ascii="Cambria" w:hAnsi="Cambria"/>
                <w:color w:val="auto"/>
              </w:rPr>
              <w:t>Legal basis of the processing</w:t>
            </w:r>
          </w:p>
        </w:tc>
        <w:tc>
          <w:tcPr>
            <w:tcW w:w="2410" w:type="dxa"/>
            <w:vAlign w:val="center"/>
          </w:tcPr>
          <w:p w14:paraId="63163878" w14:textId="70EDDBE0" w:rsidR="00AD4CFE" w:rsidRPr="00AE0071" w:rsidRDefault="00AD4CFE" w:rsidP="00D7577F">
            <w:pPr>
              <w:spacing w:line="259"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color w:val="auto"/>
              </w:rPr>
            </w:pPr>
            <w:r>
              <w:rPr>
                <w:rFonts w:ascii="Cambria" w:hAnsi="Cambria"/>
                <w:color w:val="auto"/>
              </w:rPr>
              <w:t>Categories of personal data subject to processing</w:t>
            </w:r>
          </w:p>
        </w:tc>
        <w:tc>
          <w:tcPr>
            <w:tcW w:w="2126" w:type="dxa"/>
            <w:vAlign w:val="center"/>
          </w:tcPr>
          <w:p w14:paraId="66814DE0" w14:textId="537E7798" w:rsidR="00AD4CFE" w:rsidRPr="00AE0071" w:rsidRDefault="00AD4CFE" w:rsidP="00AD4CFE">
            <w:pPr>
              <w:spacing w:line="259"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color w:val="auto"/>
              </w:rPr>
            </w:pPr>
            <w:r>
              <w:rPr>
                <w:rFonts w:ascii="Cambria" w:hAnsi="Cambria"/>
                <w:color w:val="auto"/>
              </w:rPr>
              <w:t>Retention period of personal data</w:t>
            </w:r>
          </w:p>
        </w:tc>
      </w:tr>
      <w:tr w:rsidR="00FC4E23" w:rsidRPr="00FC4E23" w14:paraId="2680D606" w14:textId="77777777" w:rsidTr="008C384E">
        <w:trPr>
          <w:trHeight w:val="2782"/>
        </w:trPr>
        <w:tc>
          <w:tcPr>
            <w:cnfStyle w:val="001000000000" w:firstRow="0" w:lastRow="0" w:firstColumn="1" w:lastColumn="0" w:oddVBand="0" w:evenVBand="0" w:oddHBand="0" w:evenHBand="0" w:firstRowFirstColumn="0" w:firstRowLastColumn="0" w:lastRowFirstColumn="0" w:lastRowLastColumn="0"/>
            <w:tcW w:w="2444" w:type="dxa"/>
            <w:vAlign w:val="center"/>
          </w:tcPr>
          <w:p w14:paraId="45B646AF" w14:textId="77777777" w:rsidR="00BD588B" w:rsidRPr="00FC4E23" w:rsidRDefault="00BD588B" w:rsidP="00DA54B9">
            <w:pPr>
              <w:spacing w:line="259" w:lineRule="auto"/>
              <w:rPr>
                <w:rFonts w:ascii="Cambria" w:hAnsi="Cambria" w:cs="Arial"/>
                <w:bCs w:val="0"/>
                <w:color w:val="auto"/>
              </w:rPr>
            </w:pPr>
            <w:r>
              <w:rPr>
                <w:rFonts w:ascii="Cambria" w:hAnsi="Cambria"/>
                <w:color w:val="auto"/>
              </w:rPr>
              <w:t>Purpose 1</w:t>
            </w:r>
          </w:p>
          <w:p w14:paraId="7CC27E90" w14:textId="763C0021" w:rsidR="00BD588B" w:rsidRPr="00FC4E23" w:rsidRDefault="00BD588B" w:rsidP="00DA54B9">
            <w:pPr>
              <w:spacing w:line="259" w:lineRule="auto"/>
              <w:rPr>
                <w:rFonts w:ascii="Cambria" w:eastAsia="Times New Roman" w:hAnsi="Cambria" w:cs="Times New Roman"/>
                <w:b w:val="0"/>
                <w:bCs w:val="0"/>
                <w:color w:val="auto"/>
                <w:sz w:val="24"/>
                <w:szCs w:val="24"/>
              </w:rPr>
            </w:pPr>
            <w:r>
              <w:rPr>
                <w:rFonts w:ascii="Cambria" w:hAnsi="Cambria"/>
                <w:b w:val="0"/>
                <w:color w:val="auto"/>
              </w:rPr>
              <w:t>Management of registration and enrolment procedures.</w:t>
            </w:r>
          </w:p>
        </w:tc>
        <w:tc>
          <w:tcPr>
            <w:tcW w:w="2801" w:type="dxa"/>
            <w:vAlign w:val="center"/>
          </w:tcPr>
          <w:p w14:paraId="13B3140E" w14:textId="77777777" w:rsidR="00BD588B" w:rsidRPr="00FC4E23" w:rsidRDefault="00BD588B" w:rsidP="00D7577F">
            <w:pPr>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Public interest</w:t>
            </w:r>
          </w:p>
          <w:p w14:paraId="25B9B342" w14:textId="658DAE3A" w:rsidR="00BD588B" w:rsidRPr="00FC4E23" w:rsidRDefault="00BD588B" w:rsidP="00D7577F">
            <w:pPr>
              <w:spacing w:line="259" w:lineRule="auto"/>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(Art. 6(1e) of the EU Regulation; Min. Decree 270/2004 and Regulations for Level I and II Master’s, Specialisation Courses and Continuing Education - Rector’s Decree No 6485 of 05.30.2024).</w:t>
            </w:r>
          </w:p>
        </w:tc>
        <w:tc>
          <w:tcPr>
            <w:tcW w:w="2410" w:type="dxa"/>
            <w:vAlign w:val="center"/>
          </w:tcPr>
          <w:p w14:paraId="77A06F34" w14:textId="1942218E" w:rsidR="00BD588B" w:rsidRPr="00FC4E23" w:rsidRDefault="00BD588B" w:rsidP="00832760">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Personal details;</w:t>
            </w:r>
          </w:p>
          <w:p w14:paraId="60D71B9E" w14:textId="190E149D" w:rsidR="00BD588B" w:rsidRPr="00FC4E23" w:rsidRDefault="00BD588B" w:rsidP="00832760">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Identifying data;</w:t>
            </w:r>
          </w:p>
          <w:p w14:paraId="374B74CF" w14:textId="4C397E36" w:rsidR="00BD588B" w:rsidRPr="00FC4E23" w:rsidRDefault="00BD588B" w:rsidP="00832760">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Contact details;</w:t>
            </w:r>
          </w:p>
          <w:p w14:paraId="296D4093" w14:textId="54ABB9C7" w:rsidR="00BD588B" w:rsidRPr="00FC4E23" w:rsidRDefault="00BD588B" w:rsidP="00832760">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Data relating to academic, curricular and professional qualifications;</w:t>
            </w:r>
          </w:p>
          <w:p w14:paraId="5555ADB1" w14:textId="5B02F12A" w:rsidR="00BD588B" w:rsidRPr="00FC4E23" w:rsidRDefault="00BD588B" w:rsidP="00832760">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Payment details (registration fee and stamp duty).</w:t>
            </w:r>
          </w:p>
        </w:tc>
        <w:tc>
          <w:tcPr>
            <w:tcW w:w="2126" w:type="dxa"/>
            <w:vAlign w:val="center"/>
          </w:tcPr>
          <w:p w14:paraId="52F545BA" w14:textId="072249F4" w:rsidR="00BD588B" w:rsidRPr="00FC4E23" w:rsidRDefault="00242F37" w:rsidP="001D759A">
            <w:pPr>
              <w:ind w:left="143"/>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rPr>
            </w:pPr>
            <w:r>
              <w:rPr>
                <w:rFonts w:ascii="Cambria" w:hAnsi="Cambria"/>
                <w:color w:val="auto"/>
              </w:rPr>
              <w:t>Indefinitely.</w:t>
            </w:r>
          </w:p>
        </w:tc>
      </w:tr>
      <w:tr w:rsidR="00FC4E23" w:rsidRPr="00FC4E23" w14:paraId="40EA1C86" w14:textId="77777777" w:rsidTr="008C384E">
        <w:trPr>
          <w:trHeight w:val="2970"/>
        </w:trPr>
        <w:tc>
          <w:tcPr>
            <w:cnfStyle w:val="001000000000" w:firstRow="0" w:lastRow="0" w:firstColumn="1" w:lastColumn="0" w:oddVBand="0" w:evenVBand="0" w:oddHBand="0" w:evenHBand="0" w:firstRowFirstColumn="0" w:firstRowLastColumn="0" w:lastRowFirstColumn="0" w:lastRowLastColumn="0"/>
            <w:tcW w:w="2444" w:type="dxa"/>
            <w:vAlign w:val="center"/>
          </w:tcPr>
          <w:p w14:paraId="0248AF03" w14:textId="352B8DCE" w:rsidR="00242F37" w:rsidRPr="00FC4E23" w:rsidRDefault="00242F37" w:rsidP="00242F37">
            <w:pPr>
              <w:rPr>
                <w:rFonts w:ascii="Cambria" w:hAnsi="Cambria" w:cs="Arial"/>
                <w:color w:val="auto"/>
              </w:rPr>
            </w:pPr>
            <w:r>
              <w:rPr>
                <w:rFonts w:ascii="Cambria" w:hAnsi="Cambria"/>
                <w:color w:val="auto"/>
              </w:rPr>
              <w:t>Purpose 2</w:t>
            </w:r>
            <w:r>
              <w:rPr>
                <w:rFonts w:ascii="Cambria" w:hAnsi="Cambria"/>
                <w:color w:val="auto"/>
              </w:rPr>
              <w:br/>
            </w:r>
            <w:r>
              <w:rPr>
                <w:rFonts w:ascii="Cambria" w:hAnsi="Cambria"/>
                <w:b w:val="0"/>
                <w:color w:val="auto"/>
              </w:rPr>
              <w:t>Awarding of degree.</w:t>
            </w:r>
          </w:p>
        </w:tc>
        <w:tc>
          <w:tcPr>
            <w:tcW w:w="2801" w:type="dxa"/>
            <w:vAlign w:val="center"/>
          </w:tcPr>
          <w:p w14:paraId="6846828B" w14:textId="77777777" w:rsidR="00A9622D" w:rsidRPr="00FC4E23" w:rsidRDefault="00A9622D" w:rsidP="00A9622D">
            <w:pPr>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Public interest</w:t>
            </w:r>
          </w:p>
          <w:p w14:paraId="396EB3F2" w14:textId="0761C901" w:rsidR="00242F37" w:rsidRPr="00FC4E23" w:rsidRDefault="00A9622D" w:rsidP="00A9622D">
            <w:pPr>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(Art. 6(1e) of the EU Regulation; Min. Decree 270/2004 and Regulations for Level I and II Master’s, Specialisation Courses and Continuing Education - Rector’s Decree No 6485 of 05.30.2024).</w:t>
            </w:r>
          </w:p>
        </w:tc>
        <w:tc>
          <w:tcPr>
            <w:tcW w:w="2410" w:type="dxa"/>
            <w:vAlign w:val="center"/>
          </w:tcPr>
          <w:p w14:paraId="70C932CB" w14:textId="1AEACB5A" w:rsidR="00242F37" w:rsidRPr="00FC4E23" w:rsidRDefault="00242F37" w:rsidP="00242F37">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Personal details;</w:t>
            </w:r>
          </w:p>
          <w:p w14:paraId="71AE8B4E" w14:textId="3C87EF2C" w:rsidR="00242F37" w:rsidRPr="00FC4E23" w:rsidRDefault="00242F37" w:rsidP="00242F37">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Identifying data;</w:t>
            </w:r>
          </w:p>
          <w:p w14:paraId="50232F63" w14:textId="45EF3CA8" w:rsidR="00242F37" w:rsidRPr="00FC4E23" w:rsidRDefault="00242F37" w:rsidP="00242F37">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Contact details;</w:t>
            </w:r>
          </w:p>
          <w:p w14:paraId="66FA2B0C" w14:textId="05F6D26D" w:rsidR="00242F37" w:rsidRPr="00FC4E23" w:rsidRDefault="00242F37" w:rsidP="00242F37">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Data relating to academic, curricular and professional qualifications;</w:t>
            </w:r>
          </w:p>
        </w:tc>
        <w:tc>
          <w:tcPr>
            <w:tcW w:w="2126" w:type="dxa"/>
            <w:vAlign w:val="center"/>
          </w:tcPr>
          <w:p w14:paraId="26525DED" w14:textId="0EE064D5" w:rsidR="00242F37" w:rsidRPr="00FC4E23" w:rsidRDefault="00242F37" w:rsidP="001D759A">
            <w:pPr>
              <w:ind w:left="143"/>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Indefinitely.</w:t>
            </w:r>
          </w:p>
        </w:tc>
      </w:tr>
      <w:tr w:rsidR="00FC4E23" w:rsidRPr="00FC4E23" w14:paraId="076557DA" w14:textId="77777777" w:rsidTr="008C384E">
        <w:trPr>
          <w:trHeight w:val="1803"/>
        </w:trPr>
        <w:tc>
          <w:tcPr>
            <w:cnfStyle w:val="001000000000" w:firstRow="0" w:lastRow="0" w:firstColumn="1" w:lastColumn="0" w:oddVBand="0" w:evenVBand="0" w:oddHBand="0" w:evenHBand="0" w:firstRowFirstColumn="0" w:firstRowLastColumn="0" w:lastRowFirstColumn="0" w:lastRowLastColumn="0"/>
            <w:tcW w:w="2444" w:type="dxa"/>
            <w:vAlign w:val="center"/>
          </w:tcPr>
          <w:p w14:paraId="0B3EE2F9" w14:textId="4D4EC645" w:rsidR="00242F37" w:rsidRPr="00FC4E23" w:rsidRDefault="00242F37" w:rsidP="00242F37">
            <w:pPr>
              <w:rPr>
                <w:rFonts w:ascii="Cambria" w:hAnsi="Cambria" w:cs="Arial"/>
                <w:color w:val="auto"/>
              </w:rPr>
            </w:pPr>
            <w:r>
              <w:rPr>
                <w:rFonts w:ascii="Cambria" w:hAnsi="Cambria"/>
                <w:color w:val="auto"/>
              </w:rPr>
              <w:lastRenderedPageBreak/>
              <w:t>Purpose 3</w:t>
            </w:r>
            <w:r>
              <w:rPr>
                <w:rFonts w:ascii="Cambria" w:hAnsi="Cambria"/>
                <w:color w:val="auto"/>
              </w:rPr>
              <w:br/>
            </w:r>
            <w:r>
              <w:rPr>
                <w:rFonts w:ascii="Cambria" w:hAnsi="Cambria"/>
                <w:b w:val="0"/>
                <w:color w:val="auto"/>
              </w:rPr>
              <w:t>Statistics and historical and scientific research.</w:t>
            </w:r>
          </w:p>
        </w:tc>
        <w:tc>
          <w:tcPr>
            <w:tcW w:w="2801" w:type="dxa"/>
            <w:vAlign w:val="center"/>
          </w:tcPr>
          <w:p w14:paraId="1361135A" w14:textId="77777777" w:rsidR="00242F37" w:rsidRPr="00FC4E23" w:rsidRDefault="00242F37" w:rsidP="00242F37">
            <w:pPr>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Public interest</w:t>
            </w:r>
          </w:p>
          <w:p w14:paraId="06961D69" w14:textId="0FB90A62" w:rsidR="00242F37" w:rsidRPr="00FC4E23" w:rsidRDefault="00242F37" w:rsidP="00242F37">
            <w:pPr>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(Art. 6(1e) of the EU Regulation).</w:t>
            </w:r>
          </w:p>
        </w:tc>
        <w:tc>
          <w:tcPr>
            <w:tcW w:w="2410" w:type="dxa"/>
            <w:vAlign w:val="center"/>
          </w:tcPr>
          <w:p w14:paraId="47F30C67" w14:textId="686240A5" w:rsidR="00242F37" w:rsidRPr="00FC4E23" w:rsidRDefault="00242F37" w:rsidP="00242F37">
            <w:pPr>
              <w:numPr>
                <w:ilvl w:val="0"/>
                <w:numId w:val="10"/>
              </w:numPr>
              <w:ind w:left="172" w:hanging="181"/>
              <w:contextualSpacing/>
              <w:cnfStyle w:val="000000000000" w:firstRow="0" w:lastRow="0" w:firstColumn="0" w:lastColumn="0" w:oddVBand="0" w:evenVBand="0" w:oddHBand="0" w:evenHBand="0" w:firstRowFirstColumn="0" w:firstRowLastColumn="0" w:lastRowFirstColumn="0" w:lastRowLastColumn="0"/>
              <w:rPr>
                <w:rFonts w:ascii="Cambria" w:hAnsi="Cambria" w:cs="Arial"/>
                <w:color w:val="auto"/>
              </w:rPr>
            </w:pPr>
            <w:r>
              <w:rPr>
                <w:rFonts w:ascii="Cambria" w:hAnsi="Cambria"/>
                <w:color w:val="auto"/>
              </w:rPr>
              <w:t>Aggregated and anonymous data, without the possibility of identifying the data subject.</w:t>
            </w:r>
          </w:p>
        </w:tc>
        <w:tc>
          <w:tcPr>
            <w:tcW w:w="2126" w:type="dxa"/>
            <w:vAlign w:val="center"/>
          </w:tcPr>
          <w:p w14:paraId="522F9B4A" w14:textId="15487CDE" w:rsidR="00242F37" w:rsidRPr="00FC4E23" w:rsidRDefault="00242F37" w:rsidP="001D759A">
            <w:pPr>
              <w:ind w:left="143"/>
              <w:cnfStyle w:val="000000000000" w:firstRow="0" w:lastRow="0" w:firstColumn="0" w:lastColumn="0" w:oddVBand="0" w:evenVBand="0" w:oddHBand="0" w:evenHBand="0" w:firstRowFirstColumn="0" w:firstRowLastColumn="0" w:lastRowFirstColumn="0" w:lastRowLastColumn="0"/>
              <w:rPr>
                <w:rFonts w:ascii="Cambria" w:hAnsi="Cambria" w:cs="Arial"/>
                <w:color w:val="auto"/>
                <w:highlight w:val="yellow"/>
              </w:rPr>
            </w:pPr>
            <w:r>
              <w:rPr>
                <w:rFonts w:ascii="Cambria" w:hAnsi="Cambria"/>
                <w:color w:val="auto"/>
              </w:rPr>
              <w:t>Indefinitely.</w:t>
            </w:r>
          </w:p>
        </w:tc>
      </w:tr>
    </w:tbl>
    <w:p w14:paraId="2D9A78A9" w14:textId="77777777" w:rsidR="00EE566E" w:rsidRDefault="00EE566E" w:rsidP="002B5B04">
      <w:pPr>
        <w:spacing w:after="0"/>
        <w:ind w:left="17" w:hanging="11"/>
        <w:jc w:val="both"/>
        <w:rPr>
          <w:rFonts w:ascii="Cambria" w:eastAsia="Cambria" w:hAnsi="Cambria" w:cs="Cambria"/>
        </w:rPr>
      </w:pPr>
    </w:p>
    <w:p w14:paraId="62233B6B" w14:textId="00675CD4" w:rsidR="00A229F3" w:rsidRPr="00960DFF" w:rsidRDefault="00A229F3" w:rsidP="00991DD4">
      <w:pPr>
        <w:pStyle w:val="Titolo1"/>
        <w:ind w:left="18"/>
      </w:pPr>
      <w:r>
        <w:t xml:space="preserve">Nature of the data </w:t>
      </w:r>
    </w:p>
    <w:p w14:paraId="7D2E0211" w14:textId="1B4BF70D" w:rsidR="00991DD4" w:rsidRPr="00991DD4" w:rsidRDefault="00A229F3" w:rsidP="00433FF9">
      <w:pPr>
        <w:spacing w:after="0"/>
        <w:ind w:left="13" w:hanging="10"/>
        <w:jc w:val="both"/>
        <w:rPr>
          <w:rFonts w:ascii="Cambria" w:eastAsia="Times New Roman" w:hAnsi="Cambria" w:cs="Times New Roman"/>
        </w:rPr>
      </w:pPr>
      <w:r>
        <w:rPr>
          <w:rFonts w:ascii="Cambria" w:hAnsi="Cambria"/>
        </w:rPr>
        <w:t>The provision of the requested data is mandatory. Refusal to provide the data prevents us from fulfilling the intended purposes.</w:t>
      </w:r>
    </w:p>
    <w:p w14:paraId="435DBEA8" w14:textId="77777777" w:rsidR="00991DD4" w:rsidRPr="00232113" w:rsidRDefault="00991DD4" w:rsidP="00232113">
      <w:pPr>
        <w:spacing w:after="0" w:line="244" w:lineRule="auto"/>
        <w:ind w:right="582"/>
        <w:rPr>
          <w:rFonts w:ascii="Cambria" w:hAnsi="Cambria"/>
        </w:rPr>
      </w:pPr>
    </w:p>
    <w:p w14:paraId="71100277" w14:textId="77777777" w:rsidR="00E83AB7" w:rsidRPr="00B74C04" w:rsidRDefault="00BE7D5E" w:rsidP="00991DD4">
      <w:pPr>
        <w:pStyle w:val="Titolo1"/>
        <w:ind w:left="18"/>
      </w:pPr>
      <w:r>
        <w:t xml:space="preserve">Processing methods </w:t>
      </w:r>
    </w:p>
    <w:p w14:paraId="04D38A4C" w14:textId="6B751903" w:rsidR="00B74C04" w:rsidRDefault="00BE7D5E" w:rsidP="00991DD4">
      <w:pPr>
        <w:spacing w:after="0" w:line="254" w:lineRule="auto"/>
        <w:ind w:left="28" w:hanging="10"/>
        <w:jc w:val="both"/>
        <w:rPr>
          <w:rFonts w:ascii="Cambria" w:eastAsia="Times New Roman" w:hAnsi="Cambria" w:cs="Times New Roman"/>
        </w:rPr>
      </w:pPr>
      <w:r>
        <w:rPr>
          <w:rFonts w:ascii="Cambria" w:hAnsi="Cambria"/>
        </w:rPr>
        <w:t xml:space="preserve">The processing is carried out solely for the purposes of enrolment and awarding of the degree, in order to allow participation in Masters Level I and II and Specialisation courses delivered by managing bodies, in accordance with the provisions of university regulations. The processing for which the </w:t>
      </w:r>
      <w:proofErr w:type="spellStart"/>
      <w:r>
        <w:rPr>
          <w:rFonts w:ascii="Cambria" w:hAnsi="Cambria"/>
        </w:rPr>
        <w:t>Politecnico</w:t>
      </w:r>
      <w:proofErr w:type="spellEnd"/>
      <w:r>
        <w:rPr>
          <w:rFonts w:ascii="Cambria" w:hAnsi="Cambria"/>
        </w:rPr>
        <w:t xml:space="preserve"> di Milano is responsible falls within the institutional activities of the university, pursuant to Art. 6(1e) of the EU Regulation) and are carried out using electronic tools. </w:t>
      </w:r>
    </w:p>
    <w:p w14:paraId="0E3B7510" w14:textId="5B1BB7EE" w:rsidR="00E83AB7" w:rsidRDefault="00BE7D5E" w:rsidP="00991DD4">
      <w:pPr>
        <w:spacing w:after="0" w:line="254" w:lineRule="auto"/>
        <w:ind w:left="28" w:hanging="10"/>
        <w:jc w:val="both"/>
        <w:rPr>
          <w:rFonts w:ascii="Cambria" w:hAnsi="Cambria"/>
        </w:rPr>
      </w:pPr>
      <w:r>
        <w:rPr>
          <w:rFonts w:ascii="Cambria" w:hAnsi="Cambria"/>
        </w:rPr>
        <w:t xml:space="preserve">The data are also stored in digital format indefinitely due to the obligations of transparency and proper functioning of public administration.  </w:t>
      </w:r>
    </w:p>
    <w:p w14:paraId="20064115" w14:textId="0734B937" w:rsidR="00ED1B21" w:rsidRDefault="00ED1B21" w:rsidP="00ED1B21">
      <w:pPr>
        <w:spacing w:after="0" w:line="21" w:lineRule="atLeast"/>
        <w:jc w:val="both"/>
        <w:rPr>
          <w:rFonts w:ascii="Cambria" w:eastAsia="Times New Roman" w:hAnsi="Cambria" w:cs="Times New Roman"/>
          <w:color w:val="auto"/>
        </w:rPr>
      </w:pPr>
      <w:r>
        <w:rPr>
          <w:rFonts w:ascii="Cambria" w:hAnsi="Cambria"/>
          <w:color w:val="auto"/>
        </w:rPr>
        <w:t xml:space="preserve">The personal data collected shall be processed by duly authorised staff of the </w:t>
      </w:r>
      <w:proofErr w:type="spellStart"/>
      <w:r>
        <w:rPr>
          <w:rFonts w:ascii="Cambria" w:hAnsi="Cambria"/>
          <w:color w:val="auto"/>
        </w:rPr>
        <w:t>Politecnico</w:t>
      </w:r>
      <w:proofErr w:type="spellEnd"/>
      <w:r>
        <w:rPr>
          <w:rFonts w:ascii="Cambria" w:hAnsi="Cambria"/>
          <w:color w:val="auto"/>
        </w:rPr>
        <w:t xml:space="preserve"> di Milano and by authorised staff of the Managing Bodies, who act on the basis of specific registered instructions, provided in relation to the purposes and methods of the processing, in accordance with the provisions of Art. 29 of the EU Regulation.</w:t>
      </w:r>
    </w:p>
    <w:p w14:paraId="0CB22B1B" w14:textId="2A2C6029" w:rsidR="002C1B7A" w:rsidRPr="008A5381" w:rsidRDefault="002C1B7A" w:rsidP="00ED1B21">
      <w:pPr>
        <w:spacing w:after="0" w:line="21" w:lineRule="atLeast"/>
        <w:jc w:val="both"/>
        <w:rPr>
          <w:rFonts w:ascii="Cambria" w:eastAsia="Times New Roman" w:hAnsi="Cambria" w:cs="Times New Roman"/>
          <w:color w:val="auto"/>
        </w:rPr>
      </w:pPr>
    </w:p>
    <w:p w14:paraId="0371C4F6" w14:textId="25901910" w:rsidR="002C1B7A" w:rsidRPr="008A5381" w:rsidRDefault="002C1B7A" w:rsidP="008A5381">
      <w:pPr>
        <w:spacing w:after="0" w:line="254" w:lineRule="auto"/>
        <w:ind w:left="28" w:hanging="10"/>
        <w:jc w:val="both"/>
        <w:rPr>
          <w:rFonts w:ascii="Cambria" w:eastAsia="Times New Roman" w:hAnsi="Cambria" w:cs="Times New Roman"/>
        </w:rPr>
      </w:pPr>
      <w:r>
        <w:rPr>
          <w:rFonts w:ascii="Cambria" w:hAnsi="Cambria"/>
        </w:rPr>
        <w:t xml:space="preserve">Enrolment entails qualification as a ‘student of the </w:t>
      </w:r>
      <w:proofErr w:type="spellStart"/>
      <w:r>
        <w:rPr>
          <w:rFonts w:ascii="Cambria" w:hAnsi="Cambria"/>
        </w:rPr>
        <w:t>Politecnico</w:t>
      </w:r>
      <w:proofErr w:type="spellEnd"/>
      <w:r>
        <w:rPr>
          <w:rFonts w:ascii="Cambria" w:hAnsi="Cambria"/>
        </w:rPr>
        <w:t xml:space="preserve">’ and enables the provision of the following services: </w:t>
      </w:r>
    </w:p>
    <w:p w14:paraId="241E30FD" w14:textId="77777777" w:rsidR="002C1B7A" w:rsidRPr="008A5381" w:rsidRDefault="002C1B7A" w:rsidP="008A5381">
      <w:pPr>
        <w:spacing w:after="0" w:line="254" w:lineRule="auto"/>
        <w:ind w:left="28" w:hanging="10"/>
        <w:jc w:val="both"/>
        <w:rPr>
          <w:rFonts w:ascii="Cambria" w:eastAsia="Times New Roman" w:hAnsi="Cambria" w:cs="Times New Roman"/>
        </w:rPr>
      </w:pPr>
    </w:p>
    <w:p w14:paraId="476C6761" w14:textId="00284FF5" w:rsidR="002C1B7A" w:rsidRPr="00A374C1" w:rsidRDefault="002C1B7A" w:rsidP="008A5381">
      <w:pPr>
        <w:pStyle w:val="Paragrafoelenco"/>
        <w:numPr>
          <w:ilvl w:val="0"/>
          <w:numId w:val="10"/>
        </w:numPr>
        <w:spacing w:after="0" w:line="254" w:lineRule="auto"/>
        <w:jc w:val="both"/>
        <w:rPr>
          <w:rFonts w:ascii="Cambria" w:eastAsia="Times New Roman" w:hAnsi="Cambria" w:cs="Times New Roman"/>
          <w:lang w:val="it-IT"/>
        </w:rPr>
      </w:pPr>
      <w:r w:rsidRPr="00A374C1">
        <w:rPr>
          <w:rFonts w:ascii="Cambria" w:hAnsi="Cambria"/>
          <w:lang w:val="it-IT"/>
        </w:rPr>
        <w:t xml:space="preserve">E-mail services of the Politecnico di Milano </w:t>
      </w:r>
    </w:p>
    <w:p w14:paraId="1BD14C64" w14:textId="2B56E1AB" w:rsidR="002C1B7A" w:rsidRPr="008A5381" w:rsidRDefault="002C1B7A" w:rsidP="008A5381">
      <w:pPr>
        <w:pStyle w:val="Paragrafoelenco"/>
        <w:numPr>
          <w:ilvl w:val="0"/>
          <w:numId w:val="10"/>
        </w:numPr>
        <w:spacing w:after="0" w:line="254" w:lineRule="auto"/>
        <w:jc w:val="both"/>
        <w:rPr>
          <w:rFonts w:ascii="Cambria" w:eastAsia="Times New Roman" w:hAnsi="Cambria" w:cs="Times New Roman"/>
        </w:rPr>
      </w:pPr>
      <w:r>
        <w:rPr>
          <w:rFonts w:ascii="Cambria" w:hAnsi="Cambria"/>
        </w:rPr>
        <w:t>University library services</w:t>
      </w:r>
    </w:p>
    <w:p w14:paraId="48E484ED" w14:textId="6E856669" w:rsidR="002C1B7A" w:rsidRPr="008A5381" w:rsidRDefault="002C1B7A" w:rsidP="008A5381">
      <w:pPr>
        <w:pStyle w:val="Paragrafoelenco"/>
        <w:numPr>
          <w:ilvl w:val="0"/>
          <w:numId w:val="10"/>
        </w:numPr>
        <w:spacing w:after="0" w:line="254" w:lineRule="auto"/>
        <w:jc w:val="both"/>
        <w:rPr>
          <w:rFonts w:ascii="Cambria" w:eastAsia="Times New Roman" w:hAnsi="Cambria" w:cs="Times New Roman"/>
        </w:rPr>
      </w:pPr>
      <w:r>
        <w:rPr>
          <w:rFonts w:ascii="Cambria" w:hAnsi="Cambria"/>
        </w:rPr>
        <w:t xml:space="preserve">Alumni registration (following graduation) </w:t>
      </w:r>
    </w:p>
    <w:p w14:paraId="01CC651F" w14:textId="7201F2BE" w:rsidR="002C1B7A" w:rsidRPr="008A5381" w:rsidRDefault="002C1B7A" w:rsidP="008A5381">
      <w:pPr>
        <w:pStyle w:val="Paragrafoelenco"/>
        <w:numPr>
          <w:ilvl w:val="0"/>
          <w:numId w:val="10"/>
        </w:numPr>
        <w:spacing w:after="0" w:line="254" w:lineRule="auto"/>
        <w:jc w:val="both"/>
        <w:rPr>
          <w:rFonts w:ascii="Cambria" w:eastAsia="Times New Roman" w:hAnsi="Cambria" w:cs="Times New Roman"/>
        </w:rPr>
      </w:pPr>
      <w:r>
        <w:rPr>
          <w:rFonts w:ascii="Cambria" w:hAnsi="Cambria"/>
        </w:rPr>
        <w:t xml:space="preserve">Career Services (following graduation) </w:t>
      </w:r>
    </w:p>
    <w:p w14:paraId="4FCA4627" w14:textId="579429A6" w:rsidR="002C1B7A" w:rsidRPr="008A5381" w:rsidRDefault="002C1B7A" w:rsidP="008A5381">
      <w:pPr>
        <w:spacing w:after="0" w:line="254" w:lineRule="auto"/>
        <w:ind w:left="28" w:hanging="10"/>
        <w:jc w:val="both"/>
        <w:rPr>
          <w:rFonts w:ascii="Cambria" w:eastAsia="Times New Roman" w:hAnsi="Cambria" w:cs="Times New Roman"/>
        </w:rPr>
      </w:pPr>
    </w:p>
    <w:p w14:paraId="6A0E9B3F" w14:textId="147B06C0" w:rsidR="002C1B7A" w:rsidRPr="008A5381" w:rsidRDefault="002C1B7A" w:rsidP="008A5381">
      <w:pPr>
        <w:spacing w:after="0" w:line="254" w:lineRule="auto"/>
        <w:ind w:left="28" w:hanging="10"/>
        <w:jc w:val="both"/>
        <w:rPr>
          <w:rFonts w:eastAsia="Times New Roman"/>
          <w:color w:val="auto"/>
        </w:rPr>
      </w:pPr>
      <w:r>
        <w:rPr>
          <w:rFonts w:ascii="Cambria" w:hAnsi="Cambria"/>
        </w:rPr>
        <w:t xml:space="preserve">For the services shown above, please refer to the relative privacy statements published on </w:t>
      </w:r>
      <w:hyperlink r:id="rId8" w:history="1">
        <w:r>
          <w:rPr>
            <w:rFonts w:ascii="Cambria" w:hAnsi="Cambria"/>
          </w:rPr>
          <w:t>https://www.polimi.it/en/the-politecnico/communication/privacy</w:t>
        </w:r>
      </w:hyperlink>
      <w:r>
        <w:rPr>
          <w:color w:val="auto"/>
        </w:rPr>
        <w:t xml:space="preserve"> </w:t>
      </w:r>
    </w:p>
    <w:p w14:paraId="2D881DF7" w14:textId="77777777" w:rsidR="00ED1B21" w:rsidRPr="00B74C04" w:rsidRDefault="00ED1B21" w:rsidP="00991DD4">
      <w:pPr>
        <w:spacing w:after="0" w:line="269" w:lineRule="auto"/>
        <w:ind w:left="18" w:hanging="10"/>
        <w:jc w:val="both"/>
        <w:rPr>
          <w:rFonts w:ascii="Cambria" w:eastAsia="Times New Roman" w:hAnsi="Cambria" w:cs="Times New Roman"/>
        </w:rPr>
      </w:pPr>
    </w:p>
    <w:p w14:paraId="097F6463" w14:textId="77777777" w:rsidR="00E83AB7" w:rsidRPr="00FC776E" w:rsidRDefault="00BE7D5E" w:rsidP="00991DD4">
      <w:pPr>
        <w:pStyle w:val="Titolo1"/>
        <w:ind w:left="18"/>
        <w:rPr>
          <w:color w:val="auto"/>
        </w:rPr>
      </w:pPr>
      <w:r>
        <w:rPr>
          <w:color w:val="auto"/>
        </w:rPr>
        <w:t xml:space="preserve">Categories of recipients </w:t>
      </w:r>
    </w:p>
    <w:p w14:paraId="334415F0" w14:textId="77777777" w:rsidR="00E42EF8" w:rsidRDefault="00BE7D5E" w:rsidP="00991DD4">
      <w:pPr>
        <w:spacing w:after="0" w:line="254" w:lineRule="auto"/>
        <w:ind w:left="28" w:hanging="10"/>
        <w:jc w:val="both"/>
        <w:rPr>
          <w:rFonts w:ascii="Cambria" w:eastAsia="Times New Roman" w:hAnsi="Cambria" w:cs="Times New Roman"/>
          <w:color w:val="auto"/>
        </w:rPr>
      </w:pPr>
      <w:r>
        <w:rPr>
          <w:rFonts w:ascii="Cambria" w:hAnsi="Cambria"/>
          <w:color w:val="auto"/>
        </w:rPr>
        <w:t>In relation to the purposes indicated, personal data may be disclosed to the categories of public and/or private entities mentioned below, or may be disclosed to companies and/or persons based in Italy or abroad that provide services, including externally, on behalf of the Data Controller.</w:t>
      </w:r>
    </w:p>
    <w:p w14:paraId="292E3FA3" w14:textId="560A78C5" w:rsidR="00E83AB7" w:rsidRPr="00FC776E" w:rsidRDefault="00BE7D5E" w:rsidP="00991DD4">
      <w:pPr>
        <w:spacing w:after="0" w:line="254" w:lineRule="auto"/>
        <w:ind w:left="28" w:hanging="10"/>
        <w:jc w:val="both"/>
        <w:rPr>
          <w:rFonts w:ascii="Cambria" w:hAnsi="Cambria"/>
          <w:color w:val="auto"/>
        </w:rPr>
      </w:pPr>
      <w:r>
        <w:rPr>
          <w:rFonts w:ascii="Cambria" w:hAnsi="Cambria"/>
          <w:color w:val="auto"/>
        </w:rPr>
        <w:t xml:space="preserve">In particular, personal data may also be disclosed to other public administrations, including in anonymous form in the event that the latter are obliged to process such data for any procedures within their institutional competence, as well as to any public entities to which, under the relevant conditions, disclosure is legally required by the provisions of European law other, laws or regulations, in addition to insurance bodies for any accident reports. </w:t>
      </w:r>
    </w:p>
    <w:p w14:paraId="087F0238" w14:textId="68273C57" w:rsidR="00ED1B21" w:rsidRPr="008100E7" w:rsidRDefault="00ED1B21" w:rsidP="00ED1B21">
      <w:pPr>
        <w:spacing w:after="0" w:line="21" w:lineRule="atLeast"/>
        <w:jc w:val="both"/>
        <w:rPr>
          <w:rFonts w:ascii="Cambria" w:eastAsia="Times New Roman" w:hAnsi="Cambria" w:cs="Times New Roman"/>
          <w:color w:val="auto"/>
        </w:rPr>
      </w:pPr>
      <w:r>
        <w:rPr>
          <w:rFonts w:ascii="Cambria" w:hAnsi="Cambria"/>
          <w:color w:val="auto"/>
        </w:rPr>
        <w:t>The data may be processed by the following third parties:</w:t>
      </w:r>
    </w:p>
    <w:p w14:paraId="5BF63A96" w14:textId="77777777" w:rsidR="00B74C04" w:rsidRPr="008100E7" w:rsidRDefault="00B74C04" w:rsidP="00B74C04">
      <w:pPr>
        <w:spacing w:after="0" w:line="21" w:lineRule="atLeast"/>
        <w:rPr>
          <w:rFonts w:ascii="Cambria" w:hAnsi="Cambria" w:cs="Times New Roman"/>
          <w:color w:val="auto"/>
        </w:rPr>
      </w:pPr>
    </w:p>
    <w:p w14:paraId="18FA93F4" w14:textId="5884CEAB" w:rsidR="006632F4" w:rsidRPr="008100E7" w:rsidRDefault="006632F4" w:rsidP="0086283F">
      <w:pPr>
        <w:numPr>
          <w:ilvl w:val="0"/>
          <w:numId w:val="2"/>
        </w:numPr>
        <w:spacing w:after="0" w:line="21" w:lineRule="atLeast"/>
        <w:ind w:left="426" w:hanging="375"/>
        <w:jc w:val="both"/>
        <w:rPr>
          <w:rFonts w:ascii="Cambria" w:hAnsi="Cambria"/>
          <w:color w:val="auto"/>
        </w:rPr>
      </w:pPr>
      <w:r>
        <w:rPr>
          <w:rFonts w:ascii="Cambria" w:hAnsi="Cambria"/>
          <w:color w:val="auto"/>
        </w:rPr>
        <w:lastRenderedPageBreak/>
        <w:t xml:space="preserve">Managing bodies, which carry out activities in accordance with the provisions of Art. 7 of the Regulations for Masters Level I and II Courses, Specialisation Courses and Continuing Education at the </w:t>
      </w:r>
      <w:proofErr w:type="spellStart"/>
      <w:r>
        <w:rPr>
          <w:rFonts w:ascii="Cambria" w:hAnsi="Cambria"/>
          <w:color w:val="auto"/>
        </w:rPr>
        <w:t>Politecnico</w:t>
      </w:r>
      <w:proofErr w:type="spellEnd"/>
      <w:r>
        <w:rPr>
          <w:rFonts w:ascii="Cambria" w:hAnsi="Cambria"/>
          <w:color w:val="auto"/>
        </w:rPr>
        <w:t xml:space="preserve"> di Milano. There may therefore be communications between the </w:t>
      </w:r>
      <w:proofErr w:type="spellStart"/>
      <w:r>
        <w:rPr>
          <w:rFonts w:ascii="Cambria" w:hAnsi="Cambria"/>
          <w:color w:val="auto"/>
        </w:rPr>
        <w:t>Politecnico</w:t>
      </w:r>
      <w:proofErr w:type="spellEnd"/>
      <w:r>
        <w:rPr>
          <w:rFonts w:ascii="Cambria" w:hAnsi="Cambria"/>
          <w:color w:val="auto"/>
        </w:rPr>
        <w:t xml:space="preserve"> di Milano and the Managing Body, necessary for the execution of the administrative procedures of enrolment, payment of stamp duty and tuition fees, and issuing the final qualification.</w:t>
      </w:r>
    </w:p>
    <w:p w14:paraId="4ED67CCE" w14:textId="27C5D747" w:rsidR="00452511" w:rsidRPr="00FC776E" w:rsidRDefault="00363EE3" w:rsidP="00960DFF">
      <w:pPr>
        <w:numPr>
          <w:ilvl w:val="0"/>
          <w:numId w:val="2"/>
        </w:numPr>
        <w:spacing w:after="0" w:line="21" w:lineRule="atLeast"/>
        <w:ind w:left="426" w:hanging="360"/>
        <w:jc w:val="both"/>
        <w:rPr>
          <w:rFonts w:ascii="Cambria" w:hAnsi="Cambria"/>
          <w:color w:val="auto"/>
        </w:rPr>
      </w:pPr>
      <w:r>
        <w:rPr>
          <w:rFonts w:ascii="Cambria" w:hAnsi="Cambria"/>
          <w:color w:val="auto"/>
        </w:rPr>
        <w:t xml:space="preserve">Entities external to the </w:t>
      </w:r>
      <w:proofErr w:type="spellStart"/>
      <w:r>
        <w:rPr>
          <w:rFonts w:ascii="Cambria" w:hAnsi="Cambria"/>
          <w:color w:val="auto"/>
        </w:rPr>
        <w:t>Politecnico</w:t>
      </w:r>
      <w:proofErr w:type="spellEnd"/>
      <w:r>
        <w:rPr>
          <w:rFonts w:ascii="Cambria" w:hAnsi="Cambria"/>
          <w:color w:val="auto"/>
        </w:rPr>
        <w:t xml:space="preserve"> di Milano, in their capacity as Data Processor pursuant to Art. 28 of the EU Regulation;</w:t>
      </w:r>
    </w:p>
    <w:p w14:paraId="29FBB7AD" w14:textId="7759F16A" w:rsidR="00452511" w:rsidRPr="00FC776E" w:rsidRDefault="00363EE3" w:rsidP="00960DFF">
      <w:pPr>
        <w:numPr>
          <w:ilvl w:val="0"/>
          <w:numId w:val="2"/>
        </w:numPr>
        <w:spacing w:after="0" w:line="21" w:lineRule="atLeast"/>
        <w:ind w:left="426" w:hanging="360"/>
        <w:jc w:val="both"/>
        <w:rPr>
          <w:rFonts w:ascii="Cambria" w:hAnsi="Cambria"/>
          <w:color w:val="auto"/>
        </w:rPr>
      </w:pPr>
      <w:r>
        <w:rPr>
          <w:rFonts w:ascii="Cambria" w:hAnsi="Cambria"/>
          <w:color w:val="auto"/>
        </w:rPr>
        <w:t>Public and private entities in order to facilitate the orientation, training and professional placement of the university students and graduates.</w:t>
      </w:r>
    </w:p>
    <w:p w14:paraId="2478792E" w14:textId="2989AD32" w:rsidR="00E83AB7" w:rsidRPr="00FC776E" w:rsidRDefault="00BE7D5E" w:rsidP="00960DFF">
      <w:pPr>
        <w:numPr>
          <w:ilvl w:val="0"/>
          <w:numId w:val="2"/>
        </w:numPr>
        <w:spacing w:after="0" w:line="21" w:lineRule="atLeast"/>
        <w:ind w:left="426" w:hanging="360"/>
        <w:jc w:val="both"/>
        <w:rPr>
          <w:rFonts w:ascii="Cambria" w:hAnsi="Cambria"/>
          <w:color w:val="auto"/>
        </w:rPr>
      </w:pPr>
      <w:r>
        <w:rPr>
          <w:rFonts w:ascii="Cambria" w:hAnsi="Cambria"/>
          <w:color w:val="auto"/>
        </w:rPr>
        <w:t>Public and private entities requesting confirmation of self-certifications received, pursuant to the 'Consolidated law on law and regulatory provisions on administrative documents’ - Presidential Decree No. 445 of 28 December 2000, as amended by Article 15 of Law No. 183 of 2011.</w:t>
      </w:r>
    </w:p>
    <w:p w14:paraId="3CCDA2B1" w14:textId="0A80B88D" w:rsidR="00E83AB7" w:rsidRPr="0022006E" w:rsidRDefault="00BE7D5E" w:rsidP="00960DFF">
      <w:pPr>
        <w:numPr>
          <w:ilvl w:val="0"/>
          <w:numId w:val="2"/>
        </w:numPr>
        <w:spacing w:after="0" w:line="252" w:lineRule="auto"/>
        <w:ind w:left="426" w:hanging="360"/>
        <w:jc w:val="both"/>
        <w:rPr>
          <w:rFonts w:ascii="Cambria" w:hAnsi="Cambria"/>
          <w:color w:val="FF0000"/>
        </w:rPr>
      </w:pPr>
      <w:r>
        <w:rPr>
          <w:rFonts w:ascii="Cambria" w:hAnsi="Cambria"/>
          <w:color w:val="auto"/>
        </w:rPr>
        <w:t xml:space="preserve">Professional associations for the issue of professional training credits. </w:t>
      </w:r>
    </w:p>
    <w:p w14:paraId="673F581E" w14:textId="77777777" w:rsidR="00433FF9" w:rsidRPr="00433FF9" w:rsidRDefault="00BE7D5E" w:rsidP="00433FF9">
      <w:pPr>
        <w:numPr>
          <w:ilvl w:val="0"/>
          <w:numId w:val="2"/>
        </w:numPr>
        <w:spacing w:after="0" w:line="252" w:lineRule="auto"/>
        <w:ind w:left="426" w:hanging="360"/>
        <w:jc w:val="both"/>
        <w:rPr>
          <w:rFonts w:ascii="Cambria" w:hAnsi="Cambria"/>
          <w:color w:val="auto"/>
        </w:rPr>
      </w:pPr>
      <w:r>
        <w:rPr>
          <w:rFonts w:ascii="Cambria" w:hAnsi="Cambria"/>
          <w:color w:val="auto"/>
        </w:rPr>
        <w:t>Partner entities of the course manager.</w:t>
      </w:r>
    </w:p>
    <w:p w14:paraId="5ACE173D" w14:textId="77777777" w:rsidR="00433FF9" w:rsidRDefault="00433FF9" w:rsidP="00433FF9">
      <w:pPr>
        <w:spacing w:after="0" w:line="252" w:lineRule="auto"/>
        <w:ind w:left="66"/>
        <w:jc w:val="both"/>
        <w:rPr>
          <w:rFonts w:ascii="Cambria" w:hAnsi="Cambria"/>
          <w:color w:val="auto"/>
        </w:rPr>
      </w:pPr>
    </w:p>
    <w:p w14:paraId="63F5DFEE" w14:textId="77777777" w:rsidR="00433FF9" w:rsidRDefault="00BE7D5E" w:rsidP="00433FF9">
      <w:pPr>
        <w:spacing w:after="0" w:line="252" w:lineRule="auto"/>
        <w:ind w:left="66"/>
        <w:jc w:val="both"/>
        <w:rPr>
          <w:rFonts w:ascii="Cambria" w:hAnsi="Cambria"/>
          <w:b/>
          <w:bCs/>
          <w:color w:val="auto"/>
        </w:rPr>
      </w:pPr>
      <w:r>
        <w:rPr>
          <w:rFonts w:ascii="Cambria" w:hAnsi="Cambria"/>
          <w:b/>
          <w:color w:val="auto"/>
        </w:rPr>
        <w:t>Transfer to non-EU countries or international organizations</w:t>
      </w:r>
    </w:p>
    <w:p w14:paraId="1363D69C" w14:textId="77777777" w:rsidR="00433FF9" w:rsidRDefault="00B74C04" w:rsidP="00433FF9">
      <w:pPr>
        <w:spacing w:after="0" w:line="252" w:lineRule="auto"/>
        <w:ind w:left="66"/>
        <w:jc w:val="both"/>
        <w:rPr>
          <w:rFonts w:ascii="Cambria" w:hAnsi="Cambria"/>
          <w:bCs/>
          <w:color w:val="auto"/>
        </w:rPr>
      </w:pPr>
      <w:r>
        <w:rPr>
          <w:rFonts w:ascii="Cambria" w:hAnsi="Cambria"/>
          <w:color w:val="auto"/>
        </w:rPr>
        <w:t xml:space="preserve">Personal data shall be processed by the Data Controller within the European Union. </w:t>
      </w:r>
    </w:p>
    <w:p w14:paraId="5570375D" w14:textId="6A9C9097" w:rsidR="00C91F2F" w:rsidRPr="00433FF9" w:rsidRDefault="00B74C04" w:rsidP="00433FF9">
      <w:pPr>
        <w:spacing w:after="0" w:line="252" w:lineRule="auto"/>
        <w:ind w:left="66"/>
        <w:jc w:val="both"/>
        <w:rPr>
          <w:rFonts w:ascii="Cambria" w:hAnsi="Cambria"/>
          <w:b/>
          <w:bCs/>
          <w:color w:val="auto"/>
        </w:rPr>
      </w:pPr>
      <w:r>
        <w:rPr>
          <w:rFonts w:ascii="Cambria" w:hAnsi="Cambria"/>
          <w:color w:val="auto"/>
        </w:rPr>
        <w:t>Should it become necessary for technical and/or operational reasons to use entities located outside the European Union, or should it become necessary to transfer some of the collected data to technical systems and services managed in the Cloud and located outside the European Union, data processing shall be regulated in accordance with Chapter 5 of the Regulation and authorised on the basis of specific decisions by the European Union. All of the necessary precautions shall therefore be taken to ensure the maximum protection of personal data, basing the transfer on:</w:t>
      </w:r>
    </w:p>
    <w:p w14:paraId="6B550E59" w14:textId="77777777" w:rsidR="00B74C04" w:rsidRPr="00FC776E" w:rsidRDefault="00B74C04" w:rsidP="00B74C04">
      <w:pPr>
        <w:keepNext/>
        <w:keepLines/>
        <w:numPr>
          <w:ilvl w:val="0"/>
          <w:numId w:val="7"/>
        </w:numPr>
        <w:spacing w:after="0" w:line="240" w:lineRule="auto"/>
        <w:jc w:val="both"/>
        <w:outlineLvl w:val="0"/>
        <w:rPr>
          <w:rFonts w:ascii="Cambria" w:hAnsi="Cambria"/>
          <w:bCs/>
          <w:color w:val="auto"/>
        </w:rPr>
      </w:pPr>
      <w:r>
        <w:rPr>
          <w:rFonts w:ascii="Cambria" w:hAnsi="Cambria"/>
          <w:color w:val="auto"/>
        </w:rPr>
        <w:t xml:space="preserve">adequacy decisions on recipient third countries made by the European Commission; </w:t>
      </w:r>
    </w:p>
    <w:p w14:paraId="39146A10" w14:textId="77777777" w:rsidR="00B74C04" w:rsidRPr="00FC776E" w:rsidRDefault="00B74C04" w:rsidP="00B74C04">
      <w:pPr>
        <w:keepNext/>
        <w:keepLines/>
        <w:numPr>
          <w:ilvl w:val="0"/>
          <w:numId w:val="7"/>
        </w:numPr>
        <w:spacing w:after="0" w:line="240" w:lineRule="auto"/>
        <w:jc w:val="both"/>
        <w:outlineLvl w:val="0"/>
        <w:rPr>
          <w:rFonts w:ascii="Cambria" w:hAnsi="Cambria"/>
          <w:bCs/>
          <w:color w:val="auto"/>
        </w:rPr>
      </w:pPr>
      <w:r>
        <w:rPr>
          <w:rFonts w:ascii="Cambria" w:hAnsi="Cambria"/>
          <w:color w:val="auto"/>
        </w:rPr>
        <w:t xml:space="preserve">appropriate guarantees provided by the recipient third party under Art. 46 of the EU Regulation; </w:t>
      </w:r>
    </w:p>
    <w:p w14:paraId="5F35B9DB" w14:textId="77777777" w:rsidR="00B74C04" w:rsidRPr="00FC776E" w:rsidRDefault="00B74C04" w:rsidP="00B74C04">
      <w:pPr>
        <w:keepNext/>
        <w:keepLines/>
        <w:numPr>
          <w:ilvl w:val="0"/>
          <w:numId w:val="7"/>
        </w:numPr>
        <w:spacing w:after="0" w:line="240" w:lineRule="auto"/>
        <w:jc w:val="both"/>
        <w:outlineLvl w:val="0"/>
        <w:rPr>
          <w:rFonts w:ascii="Cambria" w:hAnsi="Cambria"/>
          <w:bCs/>
          <w:color w:val="auto"/>
        </w:rPr>
      </w:pPr>
      <w:r>
        <w:rPr>
          <w:rFonts w:ascii="Cambria" w:hAnsi="Cambria"/>
          <w:color w:val="auto"/>
        </w:rPr>
        <w:t xml:space="preserve">the adoption of </w:t>
      </w:r>
      <w:r>
        <w:rPr>
          <w:rFonts w:ascii="Cambria" w:hAnsi="Cambria"/>
          <w:i/>
          <w:color w:val="auto"/>
        </w:rPr>
        <w:t>Binding Corporate Rules</w:t>
      </w:r>
      <w:r>
        <w:rPr>
          <w:rFonts w:ascii="Cambria" w:hAnsi="Cambria"/>
          <w:color w:val="auto"/>
        </w:rPr>
        <w:t>.</w:t>
      </w:r>
    </w:p>
    <w:p w14:paraId="18AF2D06" w14:textId="77777777" w:rsidR="00B74C04" w:rsidRPr="00B74C04" w:rsidRDefault="00B74C04" w:rsidP="00B74C04">
      <w:pPr>
        <w:spacing w:after="0" w:line="254" w:lineRule="auto"/>
        <w:jc w:val="both"/>
        <w:rPr>
          <w:rFonts w:ascii="Cambria" w:hAnsi="Cambria"/>
        </w:rPr>
      </w:pPr>
    </w:p>
    <w:p w14:paraId="107E4335" w14:textId="77777777" w:rsidR="00E83AB7" w:rsidRPr="00B74C04" w:rsidRDefault="00BE7D5E" w:rsidP="00991DD4">
      <w:pPr>
        <w:pStyle w:val="Titolo1"/>
        <w:ind w:left="18"/>
        <w:rPr>
          <w:sz w:val="22"/>
        </w:rPr>
      </w:pPr>
      <w:r>
        <w:rPr>
          <w:sz w:val="22"/>
        </w:rPr>
        <w:t xml:space="preserve">Data Subjects’ rights </w:t>
      </w:r>
    </w:p>
    <w:p w14:paraId="56E50FBC" w14:textId="0CA4ABAE" w:rsidR="00E83AB7" w:rsidRDefault="00BE7D5E" w:rsidP="00991DD4">
      <w:pPr>
        <w:spacing w:after="0" w:line="269" w:lineRule="auto"/>
        <w:ind w:left="18" w:hanging="10"/>
        <w:jc w:val="both"/>
        <w:rPr>
          <w:rFonts w:ascii="Cambria" w:eastAsia="Times New Roman" w:hAnsi="Cambria" w:cs="Times New Roman"/>
        </w:rPr>
      </w:pPr>
      <w:r>
        <w:rPr>
          <w:rFonts w:ascii="Cambria" w:hAnsi="Cambria"/>
        </w:rPr>
        <w:t xml:space="preserve">As a Data Subject, you can ask the Data Controller for the following at any time: </w:t>
      </w:r>
    </w:p>
    <w:p w14:paraId="245AEA69" w14:textId="77777777" w:rsidR="005B35B5" w:rsidRPr="00B74C04" w:rsidRDefault="005B35B5" w:rsidP="00991DD4">
      <w:pPr>
        <w:spacing w:after="0" w:line="269" w:lineRule="auto"/>
        <w:ind w:left="18" w:hanging="10"/>
        <w:jc w:val="both"/>
        <w:rPr>
          <w:rFonts w:ascii="Cambria" w:hAnsi="Cambria"/>
        </w:rPr>
      </w:pPr>
    </w:p>
    <w:p w14:paraId="2C998414" w14:textId="77777777" w:rsidR="00E83AB7" w:rsidRPr="00B74C04" w:rsidRDefault="00BE7D5E" w:rsidP="00991DD4">
      <w:pPr>
        <w:numPr>
          <w:ilvl w:val="0"/>
          <w:numId w:val="3"/>
        </w:numPr>
        <w:spacing w:after="0" w:line="269" w:lineRule="auto"/>
        <w:ind w:hanging="360"/>
        <w:jc w:val="both"/>
        <w:rPr>
          <w:rFonts w:ascii="Cambria" w:hAnsi="Cambria"/>
        </w:rPr>
      </w:pPr>
      <w:r>
        <w:rPr>
          <w:rFonts w:ascii="Cambria" w:hAnsi="Cambria"/>
        </w:rPr>
        <w:t>confirmation of any personal data held concerning you;</w:t>
      </w:r>
    </w:p>
    <w:p w14:paraId="186CB282" w14:textId="6D9E1F22" w:rsidR="00BE7D5E" w:rsidRPr="005B35B5" w:rsidRDefault="00BE7D5E" w:rsidP="00991DD4">
      <w:pPr>
        <w:numPr>
          <w:ilvl w:val="0"/>
          <w:numId w:val="3"/>
        </w:numPr>
        <w:spacing w:after="0" w:line="269" w:lineRule="auto"/>
        <w:ind w:hanging="360"/>
        <w:jc w:val="both"/>
        <w:rPr>
          <w:rFonts w:ascii="Cambria" w:hAnsi="Cambria"/>
        </w:rPr>
      </w:pPr>
      <w:r>
        <w:rPr>
          <w:rFonts w:ascii="Cambria" w:hAnsi="Cambria"/>
        </w:rPr>
        <w:t>access to your personal data and related information; the rectification of inaccurate data or the completion of incomplete data; the deletion of personal data concerning you (where any of the conditions indicated in Art. 17(1) of the Regulation apply and in compliance with the exceptions provided for in paragraph 3 of the same article); the restriction of the processing of your personal data (where one of the conditions indicated in Art. 18, paragraph 1 of the Regulation applied); the transformation into anonymous form or the blocking of data processed in violation of the law, including those that do not need to be kept for the purposes for which the data were collected or subsequently processed.</w:t>
      </w:r>
    </w:p>
    <w:p w14:paraId="661D430D" w14:textId="77777777" w:rsidR="005B35B5" w:rsidRPr="00B74C04" w:rsidRDefault="005B35B5" w:rsidP="005B35B5">
      <w:pPr>
        <w:spacing w:after="0" w:line="269" w:lineRule="auto"/>
        <w:ind w:left="368"/>
        <w:jc w:val="both"/>
        <w:rPr>
          <w:rFonts w:ascii="Cambria" w:hAnsi="Cambria"/>
        </w:rPr>
      </w:pPr>
    </w:p>
    <w:p w14:paraId="3E43C316" w14:textId="12BF3A9A" w:rsidR="00BE7D5E" w:rsidRPr="001D759A" w:rsidRDefault="00BE7D5E" w:rsidP="001D759A">
      <w:pPr>
        <w:spacing w:after="0" w:line="269" w:lineRule="auto"/>
        <w:ind w:left="8"/>
        <w:jc w:val="both"/>
        <w:rPr>
          <w:rFonts w:ascii="Cambria" w:eastAsia="Times New Roman" w:hAnsi="Cambria" w:cs="Times New Roman"/>
        </w:rPr>
      </w:pPr>
      <w:r>
        <w:rPr>
          <w:rFonts w:ascii="Cambria" w:hAnsi="Cambria"/>
        </w:rPr>
        <w:t>As a data subject, you also have the right to object in whole or in part, for legitimate reasons, to the processing of personal data concerning you, even if pertinent to the purpose of the collection.</w:t>
      </w:r>
    </w:p>
    <w:p w14:paraId="661EAFF1" w14:textId="77777777" w:rsidR="001D759A" w:rsidRPr="001D759A" w:rsidRDefault="001D759A" w:rsidP="001D759A">
      <w:pPr>
        <w:pStyle w:val="Paragrafoelenco"/>
        <w:spacing w:after="0" w:line="269" w:lineRule="auto"/>
        <w:ind w:left="368"/>
        <w:jc w:val="both"/>
        <w:rPr>
          <w:rFonts w:ascii="Cambria" w:hAnsi="Cambria"/>
        </w:rPr>
      </w:pPr>
    </w:p>
    <w:p w14:paraId="3B37DA1F" w14:textId="43EA1FEB" w:rsidR="00E83AB7" w:rsidRDefault="00BE7D5E" w:rsidP="00991DD4">
      <w:pPr>
        <w:spacing w:after="0" w:line="269" w:lineRule="auto"/>
        <w:ind w:left="18" w:hanging="10"/>
        <w:jc w:val="both"/>
        <w:rPr>
          <w:rFonts w:ascii="Cambria" w:eastAsia="Times New Roman" w:hAnsi="Cambria" w:cs="Times New Roman"/>
        </w:rPr>
      </w:pPr>
      <w:r>
        <w:t xml:space="preserve">These rights can be exercised by contacting </w:t>
      </w:r>
      <w:hyperlink r:id="rId9" w:history="1">
        <w:r>
          <w:rPr>
            <w:rStyle w:val="Collegamentoipertestuale"/>
            <w:rFonts w:ascii="Cambria" w:hAnsi="Cambria"/>
          </w:rPr>
          <w:t>privacy@polimi.it</w:t>
        </w:r>
      </w:hyperlink>
      <w:r>
        <w:t>.</w:t>
      </w:r>
    </w:p>
    <w:p w14:paraId="60C44D96" w14:textId="77777777" w:rsidR="005B35B5" w:rsidRPr="00B74C04" w:rsidRDefault="005B35B5" w:rsidP="00991DD4">
      <w:pPr>
        <w:spacing w:after="0" w:line="269" w:lineRule="auto"/>
        <w:ind w:left="18" w:hanging="10"/>
        <w:jc w:val="both"/>
        <w:rPr>
          <w:rFonts w:ascii="Cambria" w:hAnsi="Cambria"/>
        </w:rPr>
      </w:pPr>
    </w:p>
    <w:p w14:paraId="68B7B78B" w14:textId="566BC62F" w:rsidR="00E83AB7" w:rsidRPr="00B74C04" w:rsidRDefault="00BE7D5E" w:rsidP="00991DD4">
      <w:pPr>
        <w:spacing w:after="0" w:line="269" w:lineRule="auto"/>
        <w:ind w:left="18" w:hanging="10"/>
        <w:jc w:val="both"/>
        <w:rPr>
          <w:rFonts w:ascii="Cambria" w:hAnsi="Cambria"/>
        </w:rPr>
      </w:pPr>
      <w:r>
        <w:rPr>
          <w:rFonts w:ascii="Cambria" w:hAnsi="Cambria"/>
        </w:rPr>
        <w:t>If you believe that your rights have been violated by the Data Controller and/or a third party, you have the right to lodge a complaint with the Personal Data Protection Authority (in Italy, www.garanteprivacy.it) and/or other competent supervisory authority pursuant to the Regulation.</w:t>
      </w:r>
    </w:p>
    <w:sectPr w:rsidR="00E83AB7" w:rsidRPr="00B74C04" w:rsidSect="008C090F">
      <w:headerReference w:type="even" r:id="rId10"/>
      <w:headerReference w:type="default" r:id="rId11"/>
      <w:footerReference w:type="even" r:id="rId12"/>
      <w:footerReference w:type="default" r:id="rId13"/>
      <w:headerReference w:type="first" r:id="rId14"/>
      <w:footerReference w:type="first" r:id="rId15"/>
      <w:pgSz w:w="11904" w:h="16838"/>
      <w:pgMar w:top="2401" w:right="1126" w:bottom="1134" w:left="1115" w:header="708"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B243" w14:textId="77777777" w:rsidR="00ED099B" w:rsidRDefault="00ED099B">
      <w:pPr>
        <w:spacing w:after="0" w:line="240" w:lineRule="auto"/>
      </w:pPr>
      <w:r>
        <w:separator/>
      </w:r>
    </w:p>
  </w:endnote>
  <w:endnote w:type="continuationSeparator" w:id="0">
    <w:p w14:paraId="66668566" w14:textId="77777777" w:rsidR="00ED099B" w:rsidRDefault="00ED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920D" w14:textId="77777777" w:rsidR="008C090F" w:rsidRDefault="008C09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74202"/>
      <w:docPartObj>
        <w:docPartGallery w:val="Page Numbers (Bottom of Page)"/>
        <w:docPartUnique/>
      </w:docPartObj>
    </w:sdtPr>
    <w:sdtEndPr/>
    <w:sdtContent>
      <w:p w14:paraId="2208431D" w14:textId="48B4E7D8" w:rsidR="008C090F" w:rsidRDefault="008C090F">
        <w:pPr>
          <w:pStyle w:val="Pidipagina"/>
          <w:jc w:val="right"/>
        </w:pPr>
        <w:r>
          <w:fldChar w:fldCharType="begin"/>
        </w:r>
        <w:r>
          <w:instrText>PAGE   \* MERGEFORMAT</w:instrText>
        </w:r>
        <w:r>
          <w:fldChar w:fldCharType="separate"/>
        </w:r>
        <w:r>
          <w:t>2</w:t>
        </w:r>
        <w:r>
          <w:fldChar w:fldCharType="end"/>
        </w:r>
      </w:p>
    </w:sdtContent>
  </w:sdt>
  <w:p w14:paraId="4C46798F" w14:textId="77777777" w:rsidR="008C090F" w:rsidRDefault="008C09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EB06" w14:textId="77777777" w:rsidR="008C090F" w:rsidRDefault="008C09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294E" w14:textId="77777777" w:rsidR="00ED099B" w:rsidRDefault="00ED099B">
      <w:pPr>
        <w:spacing w:after="0" w:line="240" w:lineRule="auto"/>
      </w:pPr>
      <w:r>
        <w:separator/>
      </w:r>
    </w:p>
  </w:footnote>
  <w:footnote w:type="continuationSeparator" w:id="0">
    <w:p w14:paraId="048EDFDD" w14:textId="77777777" w:rsidR="00ED099B" w:rsidRDefault="00ED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278F" w14:textId="77777777" w:rsidR="00E83AB7" w:rsidRDefault="00BE7D5E">
    <w:pPr>
      <w:spacing w:after="0"/>
      <w:ind w:left="-1115" w:right="7737"/>
    </w:pPr>
    <w:r>
      <w:rPr>
        <w:noProof/>
      </w:rPr>
      <w:drawing>
        <wp:anchor distT="0" distB="0" distL="114300" distR="114300" simplePos="0" relativeHeight="251658240" behindDoc="0" locked="0" layoutInCell="1" allowOverlap="0" wp14:anchorId="7BCCA9C3" wp14:editId="759987DC">
          <wp:simplePos x="0" y="0"/>
          <wp:positionH relativeFrom="page">
            <wp:posOffset>720090</wp:posOffset>
          </wp:positionH>
          <wp:positionV relativeFrom="page">
            <wp:posOffset>449580</wp:posOffset>
          </wp:positionV>
          <wp:extent cx="1211225" cy="876300"/>
          <wp:effectExtent l="0" t="0" r="0" b="0"/>
          <wp:wrapSquare wrapText="bothSides"/>
          <wp:docPr id="2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11225" cy="876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D1DF" w14:textId="77777777" w:rsidR="00E83AB7" w:rsidRDefault="00BE7D5E">
    <w:pPr>
      <w:spacing w:after="0"/>
      <w:ind w:left="-1115" w:right="7737"/>
    </w:pPr>
    <w:r>
      <w:rPr>
        <w:noProof/>
      </w:rPr>
      <w:drawing>
        <wp:anchor distT="0" distB="0" distL="114300" distR="114300" simplePos="0" relativeHeight="251659264" behindDoc="0" locked="0" layoutInCell="1" allowOverlap="0" wp14:anchorId="1DFE0407" wp14:editId="34ED32D2">
          <wp:simplePos x="0" y="0"/>
          <wp:positionH relativeFrom="page">
            <wp:posOffset>720090</wp:posOffset>
          </wp:positionH>
          <wp:positionV relativeFrom="page">
            <wp:posOffset>449580</wp:posOffset>
          </wp:positionV>
          <wp:extent cx="1211225" cy="876300"/>
          <wp:effectExtent l="0" t="0" r="0"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11225" cy="876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8F2F" w14:textId="77777777" w:rsidR="00E83AB7" w:rsidRDefault="00BE7D5E">
    <w:pPr>
      <w:spacing w:after="0"/>
      <w:ind w:left="-1115" w:right="7737"/>
    </w:pPr>
    <w:r>
      <w:rPr>
        <w:noProof/>
      </w:rPr>
      <w:drawing>
        <wp:anchor distT="0" distB="0" distL="114300" distR="114300" simplePos="0" relativeHeight="251660288" behindDoc="0" locked="0" layoutInCell="1" allowOverlap="0" wp14:anchorId="0AC37790" wp14:editId="07CE778E">
          <wp:simplePos x="0" y="0"/>
          <wp:positionH relativeFrom="page">
            <wp:posOffset>720090</wp:posOffset>
          </wp:positionH>
          <wp:positionV relativeFrom="page">
            <wp:posOffset>449580</wp:posOffset>
          </wp:positionV>
          <wp:extent cx="1211225" cy="876300"/>
          <wp:effectExtent l="0" t="0" r="0" b="0"/>
          <wp:wrapSquare wrapText="bothSides"/>
          <wp:docPr id="2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11225" cy="876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4EA"/>
    <w:multiLevelType w:val="hybridMultilevel"/>
    <w:tmpl w:val="B226E21A"/>
    <w:lvl w:ilvl="0" w:tplc="63A2C706">
      <w:numFmt w:val="bullet"/>
      <w:lvlText w:val="-"/>
      <w:lvlJc w:val="left"/>
      <w:pPr>
        <w:ind w:left="360" w:hanging="360"/>
      </w:pPr>
      <w:rPr>
        <w:rFonts w:ascii="Calibri" w:eastAsia="Calibr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1D55896"/>
    <w:multiLevelType w:val="hybridMultilevel"/>
    <w:tmpl w:val="07AA80D4"/>
    <w:lvl w:ilvl="0" w:tplc="04100001">
      <w:start w:val="1"/>
      <w:numFmt w:val="bullet"/>
      <w:lvlText w:val=""/>
      <w:lvlJc w:val="left"/>
      <w:pPr>
        <w:ind w:left="373" w:hanging="360"/>
      </w:pPr>
      <w:rPr>
        <w:rFonts w:ascii="Symbol" w:hAnsi="Symbol" w:hint="default"/>
      </w:rPr>
    </w:lvl>
    <w:lvl w:ilvl="1" w:tplc="04100003" w:tentative="1">
      <w:start w:val="1"/>
      <w:numFmt w:val="bullet"/>
      <w:lvlText w:val="o"/>
      <w:lvlJc w:val="left"/>
      <w:pPr>
        <w:ind w:left="1093" w:hanging="360"/>
      </w:pPr>
      <w:rPr>
        <w:rFonts w:ascii="Courier New" w:hAnsi="Courier New" w:cs="Courier New" w:hint="default"/>
      </w:rPr>
    </w:lvl>
    <w:lvl w:ilvl="2" w:tplc="04100005" w:tentative="1">
      <w:start w:val="1"/>
      <w:numFmt w:val="bullet"/>
      <w:lvlText w:val=""/>
      <w:lvlJc w:val="left"/>
      <w:pPr>
        <w:ind w:left="1813" w:hanging="360"/>
      </w:pPr>
      <w:rPr>
        <w:rFonts w:ascii="Wingdings" w:hAnsi="Wingdings" w:hint="default"/>
      </w:rPr>
    </w:lvl>
    <w:lvl w:ilvl="3" w:tplc="04100001" w:tentative="1">
      <w:start w:val="1"/>
      <w:numFmt w:val="bullet"/>
      <w:lvlText w:val=""/>
      <w:lvlJc w:val="left"/>
      <w:pPr>
        <w:ind w:left="2533" w:hanging="360"/>
      </w:pPr>
      <w:rPr>
        <w:rFonts w:ascii="Symbol" w:hAnsi="Symbol" w:hint="default"/>
      </w:rPr>
    </w:lvl>
    <w:lvl w:ilvl="4" w:tplc="04100003" w:tentative="1">
      <w:start w:val="1"/>
      <w:numFmt w:val="bullet"/>
      <w:lvlText w:val="o"/>
      <w:lvlJc w:val="left"/>
      <w:pPr>
        <w:ind w:left="3253" w:hanging="360"/>
      </w:pPr>
      <w:rPr>
        <w:rFonts w:ascii="Courier New" w:hAnsi="Courier New" w:cs="Courier New" w:hint="default"/>
      </w:rPr>
    </w:lvl>
    <w:lvl w:ilvl="5" w:tplc="04100005" w:tentative="1">
      <w:start w:val="1"/>
      <w:numFmt w:val="bullet"/>
      <w:lvlText w:val=""/>
      <w:lvlJc w:val="left"/>
      <w:pPr>
        <w:ind w:left="3973" w:hanging="360"/>
      </w:pPr>
      <w:rPr>
        <w:rFonts w:ascii="Wingdings" w:hAnsi="Wingdings" w:hint="default"/>
      </w:rPr>
    </w:lvl>
    <w:lvl w:ilvl="6" w:tplc="04100001" w:tentative="1">
      <w:start w:val="1"/>
      <w:numFmt w:val="bullet"/>
      <w:lvlText w:val=""/>
      <w:lvlJc w:val="left"/>
      <w:pPr>
        <w:ind w:left="4693" w:hanging="360"/>
      </w:pPr>
      <w:rPr>
        <w:rFonts w:ascii="Symbol" w:hAnsi="Symbol" w:hint="default"/>
      </w:rPr>
    </w:lvl>
    <w:lvl w:ilvl="7" w:tplc="04100003" w:tentative="1">
      <w:start w:val="1"/>
      <w:numFmt w:val="bullet"/>
      <w:lvlText w:val="o"/>
      <w:lvlJc w:val="left"/>
      <w:pPr>
        <w:ind w:left="5413" w:hanging="360"/>
      </w:pPr>
      <w:rPr>
        <w:rFonts w:ascii="Courier New" w:hAnsi="Courier New" w:cs="Courier New" w:hint="default"/>
      </w:rPr>
    </w:lvl>
    <w:lvl w:ilvl="8" w:tplc="04100005" w:tentative="1">
      <w:start w:val="1"/>
      <w:numFmt w:val="bullet"/>
      <w:lvlText w:val=""/>
      <w:lvlJc w:val="left"/>
      <w:pPr>
        <w:ind w:left="6133" w:hanging="360"/>
      </w:pPr>
      <w:rPr>
        <w:rFonts w:ascii="Wingdings" w:hAnsi="Wingdings" w:hint="default"/>
      </w:rPr>
    </w:lvl>
  </w:abstractNum>
  <w:abstractNum w:abstractNumId="2" w15:restartNumberingAfterBreak="0">
    <w:nsid w:val="3781154E"/>
    <w:multiLevelType w:val="hybridMultilevel"/>
    <w:tmpl w:val="D3EC9F3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8746689"/>
    <w:multiLevelType w:val="hybridMultilevel"/>
    <w:tmpl w:val="FA7648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C1A7A"/>
    <w:multiLevelType w:val="hybridMultilevel"/>
    <w:tmpl w:val="DC88F45C"/>
    <w:lvl w:ilvl="0" w:tplc="FE1E73A8">
      <w:start w:val="1"/>
      <w:numFmt w:val="bullet"/>
      <w:lvlText w:val="-"/>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83D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436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EC0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A7F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4DB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CBB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C99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CD2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817D1C"/>
    <w:multiLevelType w:val="hybridMultilevel"/>
    <w:tmpl w:val="80327CB0"/>
    <w:lvl w:ilvl="0" w:tplc="0470B4C4">
      <w:start w:val="1"/>
      <w:numFmt w:val="bullet"/>
      <w:lvlText w:val="•"/>
      <w:lvlJc w:val="left"/>
      <w:pPr>
        <w:ind w:left="51"/>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93D82E9E">
      <w:start w:val="1"/>
      <w:numFmt w:val="bullet"/>
      <w:lvlText w:val="o"/>
      <w:lvlJc w:val="left"/>
      <w:pPr>
        <w:ind w:left="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941498">
      <w:start w:val="1"/>
      <w:numFmt w:val="bullet"/>
      <w:lvlText w:val="▪"/>
      <w:lvlJc w:val="left"/>
      <w:pPr>
        <w:ind w:left="1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743F76">
      <w:start w:val="1"/>
      <w:numFmt w:val="bullet"/>
      <w:lvlText w:val="•"/>
      <w:lvlJc w:val="left"/>
      <w:pPr>
        <w:ind w:left="2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CCDA36">
      <w:start w:val="1"/>
      <w:numFmt w:val="bullet"/>
      <w:lvlText w:val="o"/>
      <w:lvlJc w:val="left"/>
      <w:pPr>
        <w:ind w:left="2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A4F556">
      <w:start w:val="1"/>
      <w:numFmt w:val="bullet"/>
      <w:lvlText w:val="▪"/>
      <w:lvlJc w:val="left"/>
      <w:pPr>
        <w:ind w:left="3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9CCA1E">
      <w:start w:val="1"/>
      <w:numFmt w:val="bullet"/>
      <w:lvlText w:val="•"/>
      <w:lvlJc w:val="left"/>
      <w:pPr>
        <w:ind w:left="4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818E0">
      <w:start w:val="1"/>
      <w:numFmt w:val="bullet"/>
      <w:lvlText w:val="o"/>
      <w:lvlJc w:val="left"/>
      <w:pPr>
        <w:ind w:left="5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D6A6F8">
      <w:start w:val="1"/>
      <w:numFmt w:val="bullet"/>
      <w:lvlText w:val="▪"/>
      <w:lvlJc w:val="left"/>
      <w:pPr>
        <w:ind w:left="5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881421"/>
    <w:multiLevelType w:val="multilevel"/>
    <w:tmpl w:val="C09A4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BF8708B"/>
    <w:multiLevelType w:val="hybridMultilevel"/>
    <w:tmpl w:val="B5B46064"/>
    <w:lvl w:ilvl="0" w:tplc="6B703848">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2C645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EF62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A8E69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4C10D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C2D9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3C0DA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C61F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A167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1F2523"/>
    <w:multiLevelType w:val="hybridMultilevel"/>
    <w:tmpl w:val="EE4C90D8"/>
    <w:lvl w:ilvl="0" w:tplc="04100001">
      <w:start w:val="1"/>
      <w:numFmt w:val="bullet"/>
      <w:lvlText w:val=""/>
      <w:lvlJc w:val="left"/>
      <w:pPr>
        <w:ind w:left="728" w:hanging="360"/>
      </w:pPr>
      <w:rPr>
        <w:rFonts w:ascii="Symbol" w:hAnsi="Symbol" w:hint="default"/>
      </w:rPr>
    </w:lvl>
    <w:lvl w:ilvl="1" w:tplc="04100003" w:tentative="1">
      <w:start w:val="1"/>
      <w:numFmt w:val="bullet"/>
      <w:lvlText w:val="o"/>
      <w:lvlJc w:val="left"/>
      <w:pPr>
        <w:ind w:left="1448" w:hanging="360"/>
      </w:pPr>
      <w:rPr>
        <w:rFonts w:ascii="Courier New" w:hAnsi="Courier New" w:cs="Courier New" w:hint="default"/>
      </w:rPr>
    </w:lvl>
    <w:lvl w:ilvl="2" w:tplc="04100005" w:tentative="1">
      <w:start w:val="1"/>
      <w:numFmt w:val="bullet"/>
      <w:lvlText w:val=""/>
      <w:lvlJc w:val="left"/>
      <w:pPr>
        <w:ind w:left="2168" w:hanging="360"/>
      </w:pPr>
      <w:rPr>
        <w:rFonts w:ascii="Wingdings" w:hAnsi="Wingdings" w:hint="default"/>
      </w:rPr>
    </w:lvl>
    <w:lvl w:ilvl="3" w:tplc="04100001" w:tentative="1">
      <w:start w:val="1"/>
      <w:numFmt w:val="bullet"/>
      <w:lvlText w:val=""/>
      <w:lvlJc w:val="left"/>
      <w:pPr>
        <w:ind w:left="2888" w:hanging="360"/>
      </w:pPr>
      <w:rPr>
        <w:rFonts w:ascii="Symbol" w:hAnsi="Symbol" w:hint="default"/>
      </w:rPr>
    </w:lvl>
    <w:lvl w:ilvl="4" w:tplc="04100003" w:tentative="1">
      <w:start w:val="1"/>
      <w:numFmt w:val="bullet"/>
      <w:lvlText w:val="o"/>
      <w:lvlJc w:val="left"/>
      <w:pPr>
        <w:ind w:left="3608" w:hanging="360"/>
      </w:pPr>
      <w:rPr>
        <w:rFonts w:ascii="Courier New" w:hAnsi="Courier New" w:cs="Courier New" w:hint="default"/>
      </w:rPr>
    </w:lvl>
    <w:lvl w:ilvl="5" w:tplc="04100005" w:tentative="1">
      <w:start w:val="1"/>
      <w:numFmt w:val="bullet"/>
      <w:lvlText w:val=""/>
      <w:lvlJc w:val="left"/>
      <w:pPr>
        <w:ind w:left="4328" w:hanging="360"/>
      </w:pPr>
      <w:rPr>
        <w:rFonts w:ascii="Wingdings" w:hAnsi="Wingdings" w:hint="default"/>
      </w:rPr>
    </w:lvl>
    <w:lvl w:ilvl="6" w:tplc="04100001" w:tentative="1">
      <w:start w:val="1"/>
      <w:numFmt w:val="bullet"/>
      <w:lvlText w:val=""/>
      <w:lvlJc w:val="left"/>
      <w:pPr>
        <w:ind w:left="5048" w:hanging="360"/>
      </w:pPr>
      <w:rPr>
        <w:rFonts w:ascii="Symbol" w:hAnsi="Symbol" w:hint="default"/>
      </w:rPr>
    </w:lvl>
    <w:lvl w:ilvl="7" w:tplc="04100003" w:tentative="1">
      <w:start w:val="1"/>
      <w:numFmt w:val="bullet"/>
      <w:lvlText w:val="o"/>
      <w:lvlJc w:val="left"/>
      <w:pPr>
        <w:ind w:left="5768" w:hanging="360"/>
      </w:pPr>
      <w:rPr>
        <w:rFonts w:ascii="Courier New" w:hAnsi="Courier New" w:cs="Courier New" w:hint="default"/>
      </w:rPr>
    </w:lvl>
    <w:lvl w:ilvl="8" w:tplc="04100005" w:tentative="1">
      <w:start w:val="1"/>
      <w:numFmt w:val="bullet"/>
      <w:lvlText w:val=""/>
      <w:lvlJc w:val="left"/>
      <w:pPr>
        <w:ind w:left="6488" w:hanging="360"/>
      </w:pPr>
      <w:rPr>
        <w:rFonts w:ascii="Wingdings" w:hAnsi="Wingdings" w:hint="default"/>
      </w:rPr>
    </w:lvl>
  </w:abstractNum>
  <w:abstractNum w:abstractNumId="9" w15:restartNumberingAfterBreak="0">
    <w:nsid w:val="6EED5804"/>
    <w:multiLevelType w:val="hybridMultilevel"/>
    <w:tmpl w:val="F362B956"/>
    <w:lvl w:ilvl="0" w:tplc="04100001">
      <w:start w:val="1"/>
      <w:numFmt w:val="bullet"/>
      <w:lvlText w:val=""/>
      <w:lvlJc w:val="left"/>
      <w:pPr>
        <w:ind w:left="377" w:hanging="360"/>
      </w:pPr>
      <w:rPr>
        <w:rFonts w:ascii="Symbol" w:hAnsi="Symbol"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0" w15:restartNumberingAfterBreak="0">
    <w:nsid w:val="7B09598E"/>
    <w:multiLevelType w:val="hybridMultilevel"/>
    <w:tmpl w:val="386E2884"/>
    <w:lvl w:ilvl="0" w:tplc="CC8004D0">
      <w:start w:val="1"/>
      <w:numFmt w:val="bullet"/>
      <w:lvlText w:val="•"/>
      <w:lvlJc w:val="left"/>
      <w:pPr>
        <w:ind w:left="368"/>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DE12E8F6">
      <w:start w:val="1"/>
      <w:numFmt w:val="bullet"/>
      <w:lvlText w:val="o"/>
      <w:lvlJc w:val="left"/>
      <w:pPr>
        <w:ind w:left="1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86F7AC">
      <w:start w:val="1"/>
      <w:numFmt w:val="bullet"/>
      <w:lvlText w:val="▪"/>
      <w:lvlJc w:val="left"/>
      <w:pPr>
        <w:ind w:left="1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2F084">
      <w:start w:val="1"/>
      <w:numFmt w:val="bullet"/>
      <w:lvlText w:val="•"/>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E55AC">
      <w:start w:val="1"/>
      <w:numFmt w:val="bullet"/>
      <w:lvlText w:val="o"/>
      <w:lvlJc w:val="left"/>
      <w:pPr>
        <w:ind w:left="3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2C5A6C">
      <w:start w:val="1"/>
      <w:numFmt w:val="bullet"/>
      <w:lvlText w:val="▪"/>
      <w:lvlJc w:val="left"/>
      <w:pPr>
        <w:ind w:left="3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FCE19A">
      <w:start w:val="1"/>
      <w:numFmt w:val="bullet"/>
      <w:lvlText w:val="•"/>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6BF4A">
      <w:start w:val="1"/>
      <w:numFmt w:val="bullet"/>
      <w:lvlText w:val="o"/>
      <w:lvlJc w:val="left"/>
      <w:pPr>
        <w:ind w:left="5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A6C420">
      <w:start w:val="1"/>
      <w:numFmt w:val="bullet"/>
      <w:lvlText w:val="▪"/>
      <w:lvlJc w:val="left"/>
      <w:pPr>
        <w:ind w:left="6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0"/>
  </w:num>
  <w:num w:numId="4">
    <w:abstractNumId w:val="7"/>
  </w:num>
  <w:num w:numId="5">
    <w:abstractNumId w:val="8"/>
  </w:num>
  <w:num w:numId="6">
    <w:abstractNumId w:val="1"/>
  </w:num>
  <w:num w:numId="7">
    <w:abstractNumId w:val="2"/>
  </w:num>
  <w:num w:numId="8">
    <w:abstractNumId w:val="9"/>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B7"/>
    <w:rsid w:val="00037590"/>
    <w:rsid w:val="0006708C"/>
    <w:rsid w:val="00073598"/>
    <w:rsid w:val="000D65FC"/>
    <w:rsid w:val="000F64B3"/>
    <w:rsid w:val="001148B6"/>
    <w:rsid w:val="00120DA5"/>
    <w:rsid w:val="001353FE"/>
    <w:rsid w:val="001655A8"/>
    <w:rsid w:val="0018519C"/>
    <w:rsid w:val="00196F00"/>
    <w:rsid w:val="001D759A"/>
    <w:rsid w:val="001E6BE1"/>
    <w:rsid w:val="0022006E"/>
    <w:rsid w:val="00232113"/>
    <w:rsid w:val="00232452"/>
    <w:rsid w:val="00242F37"/>
    <w:rsid w:val="002532A9"/>
    <w:rsid w:val="00261D6A"/>
    <w:rsid w:val="00263EBF"/>
    <w:rsid w:val="0029451A"/>
    <w:rsid w:val="002A7A89"/>
    <w:rsid w:val="002B5B04"/>
    <w:rsid w:val="002C1B7A"/>
    <w:rsid w:val="002D1A16"/>
    <w:rsid w:val="00307B22"/>
    <w:rsid w:val="0031306C"/>
    <w:rsid w:val="0036092D"/>
    <w:rsid w:val="00363EE3"/>
    <w:rsid w:val="0039664C"/>
    <w:rsid w:val="003C1BDD"/>
    <w:rsid w:val="003D42CE"/>
    <w:rsid w:val="004171D0"/>
    <w:rsid w:val="00431A9E"/>
    <w:rsid w:val="00433FF9"/>
    <w:rsid w:val="00452511"/>
    <w:rsid w:val="004F17E4"/>
    <w:rsid w:val="004F27CB"/>
    <w:rsid w:val="004F6717"/>
    <w:rsid w:val="00515F43"/>
    <w:rsid w:val="00520B0F"/>
    <w:rsid w:val="00522110"/>
    <w:rsid w:val="00555252"/>
    <w:rsid w:val="00561AE1"/>
    <w:rsid w:val="0056676A"/>
    <w:rsid w:val="005774E2"/>
    <w:rsid w:val="005B35B5"/>
    <w:rsid w:val="006632F4"/>
    <w:rsid w:val="00685E73"/>
    <w:rsid w:val="006968DC"/>
    <w:rsid w:val="006B7744"/>
    <w:rsid w:val="006F640C"/>
    <w:rsid w:val="00767DA9"/>
    <w:rsid w:val="0079447B"/>
    <w:rsid w:val="008100E7"/>
    <w:rsid w:val="00810C54"/>
    <w:rsid w:val="008170D5"/>
    <w:rsid w:val="00832760"/>
    <w:rsid w:val="0086283F"/>
    <w:rsid w:val="008675EA"/>
    <w:rsid w:val="008766FF"/>
    <w:rsid w:val="00876C1D"/>
    <w:rsid w:val="008A5381"/>
    <w:rsid w:val="008C090F"/>
    <w:rsid w:val="008C384E"/>
    <w:rsid w:val="008D7D6C"/>
    <w:rsid w:val="00904796"/>
    <w:rsid w:val="0092515A"/>
    <w:rsid w:val="0093437D"/>
    <w:rsid w:val="009459A8"/>
    <w:rsid w:val="00960DFF"/>
    <w:rsid w:val="009740B7"/>
    <w:rsid w:val="00986BAF"/>
    <w:rsid w:val="00991DD4"/>
    <w:rsid w:val="009A20A5"/>
    <w:rsid w:val="009F2DA0"/>
    <w:rsid w:val="00A07AC8"/>
    <w:rsid w:val="00A229F3"/>
    <w:rsid w:val="00A374C1"/>
    <w:rsid w:val="00A50047"/>
    <w:rsid w:val="00A51A83"/>
    <w:rsid w:val="00A80AC9"/>
    <w:rsid w:val="00A90BF0"/>
    <w:rsid w:val="00A9573B"/>
    <w:rsid w:val="00A9622D"/>
    <w:rsid w:val="00AD4CFE"/>
    <w:rsid w:val="00AE0071"/>
    <w:rsid w:val="00B30562"/>
    <w:rsid w:val="00B638FF"/>
    <w:rsid w:val="00B74C04"/>
    <w:rsid w:val="00B878DF"/>
    <w:rsid w:val="00B90BA6"/>
    <w:rsid w:val="00BA3413"/>
    <w:rsid w:val="00BB1464"/>
    <w:rsid w:val="00BD14A4"/>
    <w:rsid w:val="00BD588B"/>
    <w:rsid w:val="00BE004E"/>
    <w:rsid w:val="00BE7D5E"/>
    <w:rsid w:val="00C21CA5"/>
    <w:rsid w:val="00C346F1"/>
    <w:rsid w:val="00C81996"/>
    <w:rsid w:val="00C91F2F"/>
    <w:rsid w:val="00C92678"/>
    <w:rsid w:val="00CA6966"/>
    <w:rsid w:val="00CA6D9D"/>
    <w:rsid w:val="00CE0B06"/>
    <w:rsid w:val="00D120D2"/>
    <w:rsid w:val="00D20F13"/>
    <w:rsid w:val="00D22FFC"/>
    <w:rsid w:val="00D318EE"/>
    <w:rsid w:val="00D70638"/>
    <w:rsid w:val="00D7577F"/>
    <w:rsid w:val="00DA3E0A"/>
    <w:rsid w:val="00DB1492"/>
    <w:rsid w:val="00DB7A1C"/>
    <w:rsid w:val="00DC1F22"/>
    <w:rsid w:val="00DE247A"/>
    <w:rsid w:val="00DE76CB"/>
    <w:rsid w:val="00DF6868"/>
    <w:rsid w:val="00E34563"/>
    <w:rsid w:val="00E40750"/>
    <w:rsid w:val="00E42EF8"/>
    <w:rsid w:val="00E4667B"/>
    <w:rsid w:val="00E46DB1"/>
    <w:rsid w:val="00E639B8"/>
    <w:rsid w:val="00E83AB7"/>
    <w:rsid w:val="00ED099B"/>
    <w:rsid w:val="00ED1B21"/>
    <w:rsid w:val="00ED6766"/>
    <w:rsid w:val="00EE566E"/>
    <w:rsid w:val="00EF3F08"/>
    <w:rsid w:val="00F23B5D"/>
    <w:rsid w:val="00F518B6"/>
    <w:rsid w:val="00F97669"/>
    <w:rsid w:val="00FC4E23"/>
    <w:rsid w:val="00FC7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C53E0"/>
  <w15:docId w15:val="{75342B98-FC35-4A46-8789-E2F8229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260" w:lineRule="auto"/>
      <w:ind w:left="28" w:hanging="10"/>
      <w:outlineLvl w:val="0"/>
    </w:pPr>
    <w:rPr>
      <w:rFonts w:ascii="Cambria" w:eastAsia="Cambria" w:hAnsi="Cambria" w:cs="Cambri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E7D5E"/>
    <w:pPr>
      <w:ind w:left="720"/>
      <w:contextualSpacing/>
    </w:pPr>
  </w:style>
  <w:style w:type="character" w:styleId="Collegamentoipertestuale">
    <w:name w:val="Hyperlink"/>
    <w:basedOn w:val="Carpredefinitoparagrafo"/>
    <w:uiPriority w:val="99"/>
    <w:unhideWhenUsed/>
    <w:rsid w:val="00A50047"/>
    <w:rPr>
      <w:color w:val="0563C1" w:themeColor="hyperlink"/>
      <w:u w:val="single"/>
    </w:rPr>
  </w:style>
  <w:style w:type="character" w:styleId="Collegamentovisitato">
    <w:name w:val="FollowedHyperlink"/>
    <w:basedOn w:val="Carpredefinitoparagrafo"/>
    <w:uiPriority w:val="99"/>
    <w:semiHidden/>
    <w:unhideWhenUsed/>
    <w:rsid w:val="00A50047"/>
    <w:rPr>
      <w:color w:val="954F72" w:themeColor="followedHyperlink"/>
      <w:u w:val="single"/>
    </w:rPr>
  </w:style>
  <w:style w:type="character" w:styleId="Rimandocommento">
    <w:name w:val="annotation reference"/>
    <w:basedOn w:val="Carpredefinitoparagrafo"/>
    <w:uiPriority w:val="99"/>
    <w:semiHidden/>
    <w:unhideWhenUsed/>
    <w:rsid w:val="005774E2"/>
    <w:rPr>
      <w:sz w:val="16"/>
      <w:szCs w:val="16"/>
    </w:rPr>
  </w:style>
  <w:style w:type="paragraph" w:styleId="Testocommento">
    <w:name w:val="annotation text"/>
    <w:basedOn w:val="Normale"/>
    <w:link w:val="TestocommentoCarattere"/>
    <w:uiPriority w:val="99"/>
    <w:semiHidden/>
    <w:unhideWhenUsed/>
    <w:rsid w:val="005774E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774E2"/>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5774E2"/>
    <w:rPr>
      <w:b/>
      <w:bCs/>
    </w:rPr>
  </w:style>
  <w:style w:type="character" w:customStyle="1" w:styleId="SoggettocommentoCarattere">
    <w:name w:val="Soggetto commento Carattere"/>
    <w:basedOn w:val="TestocommentoCarattere"/>
    <w:link w:val="Soggettocommento"/>
    <w:uiPriority w:val="99"/>
    <w:semiHidden/>
    <w:rsid w:val="005774E2"/>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5774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74E2"/>
    <w:rPr>
      <w:rFonts w:ascii="Segoe UI" w:eastAsia="Calibri" w:hAnsi="Segoe UI" w:cs="Segoe UI"/>
      <w:color w:val="000000"/>
      <w:sz w:val="18"/>
      <w:szCs w:val="18"/>
    </w:rPr>
  </w:style>
  <w:style w:type="character" w:styleId="Menzionenonrisolta">
    <w:name w:val="Unresolved Mention"/>
    <w:basedOn w:val="Carpredefinitoparagrafo"/>
    <w:uiPriority w:val="99"/>
    <w:semiHidden/>
    <w:unhideWhenUsed/>
    <w:rsid w:val="005B35B5"/>
    <w:rPr>
      <w:color w:val="605E5C"/>
      <w:shd w:val="clear" w:color="auto" w:fill="E1DFDD"/>
    </w:rPr>
  </w:style>
  <w:style w:type="paragraph" w:styleId="Pidipagina">
    <w:name w:val="footer"/>
    <w:basedOn w:val="Normale"/>
    <w:link w:val="PidipaginaCarattere"/>
    <w:uiPriority w:val="99"/>
    <w:unhideWhenUsed/>
    <w:rsid w:val="008C09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90F"/>
    <w:rPr>
      <w:rFonts w:ascii="Calibri" w:eastAsia="Calibri" w:hAnsi="Calibri" w:cs="Calibri"/>
      <w:color w:val="000000"/>
    </w:rPr>
  </w:style>
  <w:style w:type="table" w:styleId="Tabellagriglia1chiara-colore1">
    <w:name w:val="Grid Table 1 Light Accent 1"/>
    <w:basedOn w:val="Tabellanormale"/>
    <w:uiPriority w:val="46"/>
    <w:rsid w:val="00EE566E"/>
    <w:pPr>
      <w:spacing w:after="0" w:line="240" w:lineRule="auto"/>
    </w:pPr>
    <w:rPr>
      <w:rFonts w:eastAsiaTheme="minorHAns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61736">
      <w:bodyDiv w:val="1"/>
      <w:marLeft w:val="0"/>
      <w:marRight w:val="0"/>
      <w:marTop w:val="0"/>
      <w:marBottom w:val="0"/>
      <w:divBdr>
        <w:top w:val="none" w:sz="0" w:space="0" w:color="auto"/>
        <w:left w:val="none" w:sz="0" w:space="0" w:color="auto"/>
        <w:bottom w:val="none" w:sz="0" w:space="0" w:color="auto"/>
        <w:right w:val="none" w:sz="0" w:space="0" w:color="auto"/>
      </w:divBdr>
    </w:div>
    <w:div w:id="145544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mi.it/en/the-politecnico/communication/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polimi.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A058-1245-4528-88F9-1FCA4F85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1247</Words>
  <Characters>7112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Guzzetti</dc:creator>
  <cp:keywords/>
  <cp:lastModifiedBy>Staff RPD</cp:lastModifiedBy>
  <cp:revision>2</cp:revision>
  <dcterms:created xsi:type="dcterms:W3CDTF">2024-08-07T08:57:00Z</dcterms:created>
  <dcterms:modified xsi:type="dcterms:W3CDTF">2024-08-07T08:57:00Z</dcterms:modified>
</cp:coreProperties>
</file>