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66C3" w14:textId="77777777" w:rsidR="00AA30CC" w:rsidRPr="00AA30CC" w:rsidRDefault="00AA30CC" w:rsidP="00AA30CC">
      <w:pPr>
        <w:pStyle w:val="BodySPAZIO"/>
        <w:jc w:val="both"/>
        <w:rPr>
          <w:b/>
          <w:bCs/>
          <w:color w:val="102C53" w:themeColor="accent1"/>
          <w:sz w:val="32"/>
          <w:szCs w:val="16"/>
          <w:lang w:val="it-IT"/>
        </w:rPr>
      </w:pPr>
      <w:bookmarkStart w:id="0" w:name="_Hlk158812115"/>
    </w:p>
    <w:p w14:paraId="580FC25D" w14:textId="77777777" w:rsidR="002A698A" w:rsidRDefault="002A698A" w:rsidP="00AA30CC">
      <w:pPr>
        <w:pStyle w:val="BodySPAZIO"/>
        <w:jc w:val="both"/>
        <w:rPr>
          <w:b/>
          <w:bCs/>
          <w:color w:val="102C53" w:themeColor="accent1"/>
          <w:sz w:val="32"/>
          <w:szCs w:val="16"/>
          <w:lang w:val="it-IT"/>
        </w:rPr>
      </w:pPr>
      <w:bookmarkStart w:id="1" w:name="_Hlk226031701"/>
    </w:p>
    <w:p w14:paraId="14F757C1" w14:textId="308738A7" w:rsidR="00D51C6F" w:rsidRPr="00D51C6F" w:rsidRDefault="00AA30CC" w:rsidP="00AA30CC">
      <w:pPr>
        <w:pStyle w:val="BodySPAZIO"/>
        <w:jc w:val="both"/>
        <w:rPr>
          <w:b/>
          <w:bCs/>
          <w:color w:val="102C53" w:themeColor="accent1"/>
          <w:sz w:val="24"/>
          <w:szCs w:val="12"/>
          <w:lang w:val="it-IT"/>
        </w:rPr>
      </w:pPr>
      <w:r w:rsidRPr="00AA30CC">
        <w:rPr>
          <w:b/>
          <w:bCs/>
          <w:color w:val="102C53" w:themeColor="accent1"/>
          <w:sz w:val="32"/>
          <w:szCs w:val="16"/>
          <w:lang w:val="it-IT"/>
        </w:rPr>
        <w:t xml:space="preserve">GARA EUROPEA A PROCEDURA TELEMATICA APERTA </w:t>
      </w:r>
      <w:r w:rsidR="00D56AFF">
        <w:rPr>
          <w:b/>
          <w:bCs/>
          <w:color w:val="102C53" w:themeColor="accent1"/>
          <w:sz w:val="32"/>
          <w:szCs w:val="16"/>
          <w:lang w:val="it-IT"/>
        </w:rPr>
        <w:t>PER LA FORNITURA, TRASPORTO E INSTALLAZIONE DI SISTEMI PREFABBRICATI MODULARI PRESSO IL SITO ARCHEOLOGICO DI ADULIS IN ERITREA</w:t>
      </w:r>
      <w:r>
        <w:rPr>
          <w:b/>
          <w:bCs/>
          <w:color w:val="102C53" w:themeColor="accent1"/>
          <w:sz w:val="32"/>
          <w:szCs w:val="16"/>
          <w:lang w:val="it-IT"/>
        </w:rPr>
        <w:t xml:space="preserve"> </w:t>
      </w:r>
      <w:bookmarkEnd w:id="1"/>
      <w:r>
        <w:rPr>
          <w:b/>
          <w:bCs/>
          <w:color w:val="102C53" w:themeColor="accent1"/>
          <w:sz w:val="32"/>
          <w:szCs w:val="16"/>
          <w:lang w:val="it-IT"/>
        </w:rPr>
        <w:t xml:space="preserve">- </w:t>
      </w:r>
      <w:r w:rsidRPr="00AA30CC">
        <w:rPr>
          <w:b/>
          <w:bCs/>
          <w:color w:val="102C53" w:themeColor="accent1"/>
          <w:sz w:val="32"/>
          <w:szCs w:val="16"/>
          <w:lang w:val="it-IT"/>
        </w:rPr>
        <w:t xml:space="preserve">CIG </w:t>
      </w:r>
      <w:r w:rsidR="00F763EB" w:rsidRPr="00F763EB">
        <w:rPr>
          <w:b/>
          <w:sz w:val="32"/>
          <w:szCs w:val="32"/>
          <w:lang w:val="it-IT" w:eastAsia="it-IT"/>
        </w:rPr>
        <w:t>BC36D5CA32</w:t>
      </w:r>
      <w:r w:rsidR="00901D3D">
        <w:rPr>
          <w:b/>
          <w:bCs/>
          <w:color w:val="102C53" w:themeColor="accent1"/>
          <w:sz w:val="32"/>
          <w:szCs w:val="16"/>
          <w:lang w:val="it-IT"/>
        </w:rPr>
        <w:t xml:space="preserve"> CUP </w:t>
      </w:r>
      <w:r w:rsidR="00147994" w:rsidRPr="00147994">
        <w:rPr>
          <w:b/>
          <w:bCs/>
          <w:color w:val="102C53" w:themeColor="accent1"/>
          <w:sz w:val="32"/>
          <w:szCs w:val="16"/>
          <w:lang w:val="it-IT"/>
        </w:rPr>
        <w:t>D35H20000200006</w:t>
      </w:r>
    </w:p>
    <w:p w14:paraId="2375A70C" w14:textId="6DA8923B" w:rsidR="004E7AB7" w:rsidRDefault="004E7AB7" w:rsidP="006B7C72">
      <w:pPr>
        <w:pStyle w:val="Titolo4"/>
      </w:pPr>
    </w:p>
    <w:tbl>
      <w:tblPr>
        <w:tblStyle w:val="Grigliatabella"/>
        <w:tblW w:w="96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D51C6F" w14:paraId="29A5650D" w14:textId="77777777" w:rsidTr="00D51C6F">
        <w:trPr>
          <w:trHeight w:val="483"/>
        </w:trPr>
        <w:tc>
          <w:tcPr>
            <w:tcW w:w="3969" w:type="dxa"/>
            <w:tcBorders>
              <w:top w:val="nil"/>
              <w:bottom w:val="single" w:sz="18" w:space="0" w:color="102C53" w:themeColor="accent1"/>
            </w:tcBorders>
            <w:vAlign w:val="center"/>
          </w:tcPr>
          <w:p w14:paraId="6A6F6888" w14:textId="3131B796" w:rsidR="00D51C6F" w:rsidRPr="00BC0295" w:rsidRDefault="00D51C6F" w:rsidP="004E7AB7">
            <w:pPr>
              <w:pStyle w:val="TABtestatina"/>
              <w:jc w:val="left"/>
            </w:pPr>
            <w:bookmarkStart w:id="2" w:name="_Hlk199510734"/>
            <w:r>
              <w:t>OPERATORE ECONOMICO</w:t>
            </w:r>
          </w:p>
        </w:tc>
        <w:tc>
          <w:tcPr>
            <w:tcW w:w="5670" w:type="dxa"/>
            <w:tcBorders>
              <w:top w:val="nil"/>
              <w:bottom w:val="single" w:sz="18" w:space="0" w:color="102C53" w:themeColor="accent1"/>
            </w:tcBorders>
            <w:vAlign w:val="center"/>
          </w:tcPr>
          <w:p w14:paraId="4F0A1D18" w14:textId="1C1B3092" w:rsidR="00D51C6F" w:rsidRPr="00730338" w:rsidRDefault="00730338" w:rsidP="004E7AB7">
            <w:pPr>
              <w:pStyle w:val="TABtestatina"/>
              <w:rPr>
                <w:highlight w:val="yellow"/>
              </w:rPr>
            </w:pPr>
            <w:r w:rsidRPr="00730338">
              <w:rPr>
                <w:highlight w:val="yellow"/>
              </w:rPr>
              <w:t>XXX</w:t>
            </w:r>
          </w:p>
        </w:tc>
      </w:tr>
      <w:tr w:rsidR="00D51C6F" w14:paraId="188DFA84" w14:textId="77777777" w:rsidTr="00D51C6F">
        <w:trPr>
          <w:trHeight w:val="510"/>
        </w:trPr>
        <w:tc>
          <w:tcPr>
            <w:tcW w:w="3969" w:type="dxa"/>
            <w:vAlign w:val="center"/>
          </w:tcPr>
          <w:p w14:paraId="3C6F0C11" w14:textId="0E6E5058" w:rsidR="00D51C6F" w:rsidRDefault="00D51C6F" w:rsidP="002D55D5">
            <w:pPr>
              <w:pStyle w:val="TABbody"/>
            </w:pPr>
            <w:r>
              <w:t>Tipologia societaria</w:t>
            </w:r>
            <w:r w:rsidRPr="00E11F60">
              <w:t xml:space="preserve"> </w:t>
            </w:r>
          </w:p>
        </w:tc>
        <w:tc>
          <w:tcPr>
            <w:tcW w:w="5670" w:type="dxa"/>
            <w:vAlign w:val="center"/>
          </w:tcPr>
          <w:p w14:paraId="0B2EB2F5" w14:textId="6388FA02" w:rsidR="00D51C6F" w:rsidRPr="00730338" w:rsidRDefault="00730338" w:rsidP="002D55D5">
            <w:pPr>
              <w:pStyle w:val="TABbody"/>
              <w:jc w:val="right"/>
              <w:rPr>
                <w:highlight w:val="yellow"/>
              </w:rPr>
            </w:pPr>
            <w:r w:rsidRPr="00730338">
              <w:rPr>
                <w:highlight w:val="yellow"/>
              </w:rPr>
              <w:t>XXX</w:t>
            </w:r>
          </w:p>
        </w:tc>
      </w:tr>
      <w:tr w:rsidR="00D51C6F" w14:paraId="2EE40300" w14:textId="77777777" w:rsidTr="00D51C6F">
        <w:trPr>
          <w:trHeight w:val="51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535B58" w14:textId="254DE964" w:rsidR="00D51C6F" w:rsidRPr="00E11F60" w:rsidRDefault="00D51C6F" w:rsidP="0098053E">
            <w:pPr>
              <w:pStyle w:val="TABbody"/>
            </w:pPr>
            <w:r>
              <w:t>P.IVA/Codice fiscale</w:t>
            </w:r>
            <w:r w:rsidRPr="00E11F60"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5E3E973" w14:textId="285C5463" w:rsidR="00D51C6F" w:rsidRPr="00730338" w:rsidRDefault="00D51C6F" w:rsidP="0098053E">
            <w:pPr>
              <w:pStyle w:val="TABbody"/>
              <w:jc w:val="right"/>
              <w:rPr>
                <w:highlight w:val="yellow"/>
              </w:rPr>
            </w:pPr>
            <w:r w:rsidRPr="00730338">
              <w:rPr>
                <w:highlight w:val="yellow"/>
              </w:rPr>
              <w:t>000</w:t>
            </w:r>
          </w:p>
        </w:tc>
      </w:tr>
      <w:tr w:rsidR="00D51C6F" w14:paraId="53584263" w14:textId="77777777" w:rsidTr="00D51C6F">
        <w:trPr>
          <w:trHeight w:val="51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17B8805" w14:textId="09F6A746" w:rsidR="00D51C6F" w:rsidRPr="00E11F60" w:rsidRDefault="00D51C6F" w:rsidP="0098053E">
            <w:pPr>
              <w:pStyle w:val="TABbody"/>
            </w:pPr>
            <w:r>
              <w:t>Forma di partecipazione alla procedura</w:t>
            </w:r>
            <w:r w:rsidRPr="00E11F60"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B1E1D01" w14:textId="6CE7778E" w:rsidR="00D51C6F" w:rsidRPr="00730338" w:rsidRDefault="00730338" w:rsidP="0098053E">
            <w:pPr>
              <w:pStyle w:val="TABbody"/>
              <w:jc w:val="right"/>
              <w:rPr>
                <w:highlight w:val="yellow"/>
              </w:rPr>
            </w:pPr>
            <w:r w:rsidRPr="00730338">
              <w:rPr>
                <w:highlight w:val="yellow"/>
              </w:rPr>
              <w:t>XXX</w:t>
            </w:r>
          </w:p>
        </w:tc>
      </w:tr>
      <w:bookmarkEnd w:id="2"/>
    </w:tbl>
    <w:p w14:paraId="20609A8F" w14:textId="3C71D055" w:rsidR="003C67FD" w:rsidRDefault="003C67FD" w:rsidP="00A63FA4">
      <w:pPr>
        <w:pStyle w:val="BodySPAZIO"/>
        <w:rPr>
          <w:lang w:val="it-IT"/>
        </w:rPr>
      </w:pPr>
    </w:p>
    <w:p w14:paraId="20F167D7" w14:textId="77777777" w:rsidR="00D56AFF" w:rsidRDefault="00D56AFF" w:rsidP="000F5CDF">
      <w:pPr>
        <w:pStyle w:val="BodySPAZIO"/>
        <w:jc w:val="center"/>
        <w:rPr>
          <w:b/>
          <w:bCs/>
          <w:lang w:val="it-IT"/>
        </w:rPr>
      </w:pPr>
    </w:p>
    <w:p w14:paraId="75522418" w14:textId="5F998E35" w:rsidR="000F5CDF" w:rsidRPr="00901D3D" w:rsidRDefault="000F5CDF" w:rsidP="00901D3D">
      <w:pPr>
        <w:pStyle w:val="BodySPAZIO"/>
        <w:rPr>
          <w:b/>
          <w:bCs/>
          <w:color w:val="102C53" w:themeColor="accent1"/>
          <w:sz w:val="32"/>
          <w:szCs w:val="16"/>
          <w:lang w:val="it-IT"/>
        </w:rPr>
      </w:pPr>
      <w:r w:rsidRPr="00901D3D">
        <w:rPr>
          <w:b/>
          <w:bCs/>
          <w:color w:val="102C53" w:themeColor="accent1"/>
          <w:sz w:val="32"/>
          <w:szCs w:val="16"/>
          <w:lang w:val="it-IT"/>
        </w:rPr>
        <w:t>RELAZIONE TECNICA</w:t>
      </w:r>
    </w:p>
    <w:p w14:paraId="3111F680" w14:textId="36BE980E" w:rsidR="00901D3D" w:rsidRDefault="00901D3D">
      <w:pPr>
        <w:rPr>
          <w:rFonts w:ascii="Manrope" w:hAnsi="Manrope" w:cs="Frank Ruhl Libre"/>
          <w:b/>
          <w:bCs/>
          <w:sz w:val="20"/>
          <w:szCs w:val="20"/>
        </w:rPr>
      </w:pPr>
      <w:r>
        <w:rPr>
          <w:b/>
          <w:bCs/>
        </w:rPr>
        <w:br w:type="page"/>
      </w:r>
    </w:p>
    <w:p w14:paraId="7443F355" w14:textId="77777777" w:rsidR="00730C76" w:rsidRDefault="00730C76" w:rsidP="00116548">
      <w:pPr>
        <w:pStyle w:val="Titolosommario"/>
        <w:numPr>
          <w:ilvl w:val="0"/>
          <w:numId w:val="0"/>
        </w:numPr>
        <w:ind w:left="357" w:hanging="357"/>
        <w:rPr>
          <w:rFonts w:asciiTheme="minorHAnsi" w:eastAsiaTheme="minorHAnsi" w:hAnsiTheme="minorHAnsi" w:cstheme="minorBidi"/>
          <w:b w:val="0"/>
          <w:color w:val="auto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Cs w:val="22"/>
          <w:lang w:eastAsia="en-US"/>
        </w:rPr>
        <w:id w:val="-17108672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609CBFA" w14:textId="36BC638D" w:rsidR="00116548" w:rsidRDefault="00116548" w:rsidP="00116548">
          <w:pPr>
            <w:pStyle w:val="Titolosommario"/>
            <w:numPr>
              <w:ilvl w:val="0"/>
              <w:numId w:val="0"/>
            </w:numPr>
            <w:ind w:left="357" w:hanging="357"/>
          </w:pPr>
          <w:r>
            <w:t>Sommario</w:t>
          </w:r>
        </w:p>
        <w:p w14:paraId="548A2F75" w14:textId="4135FF00" w:rsidR="00C20697" w:rsidRDefault="00116548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625913" w:history="1">
            <w:r w:rsidR="00C20697" w:rsidRPr="00B413A3">
              <w:rPr>
                <w:rStyle w:val="Collegamentoipertestuale"/>
                <w:rFonts w:cs="Arial"/>
                <w:noProof/>
              </w:rPr>
              <w:t>1.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Qualità costruttiva dei moduli prefabbricati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_Toc226625913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544B7890" w14:textId="35C0FD06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4" w:history="1">
            <w:r w:rsidR="00C20697" w:rsidRPr="00B413A3">
              <w:rPr>
                <w:rStyle w:val="Collegamentoipertestuale"/>
                <w:rFonts w:cs="Arial"/>
                <w:noProof/>
              </w:rPr>
              <w:t>2.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Prestazioni termo-climatiche dell’involucro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_Toc226625914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6E5D1D14" w14:textId="13C767FB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5" w:history="1">
            <w:r w:rsidR="00C20697" w:rsidRPr="00B413A3">
              <w:rPr>
                <w:rStyle w:val="Collegamentoipertestuale"/>
                <w:rFonts w:cs="Arial"/>
                <w:noProof/>
              </w:rPr>
              <w:t>3.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Sistema di ventilazione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_Toc226625915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05317045" w14:textId="0E5C0985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6" w:history="1">
            <w:r w:rsidR="00C20697" w:rsidRPr="00B413A3">
              <w:rPr>
                <w:rStyle w:val="Collegamentoipertestuale"/>
                <w:rFonts w:cs="Arial"/>
                <w:noProof/>
              </w:rPr>
              <w:t>4.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Sistema di autosufficienza energetica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_Toc226625916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54ACBF09" w14:textId="4B45135D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7" w:history="1">
            <w:r w:rsidR="00C20697" w:rsidRPr="00B413A3">
              <w:rPr>
                <w:rStyle w:val="Collegamentoipertestuale"/>
                <w:rFonts w:cs="Arial"/>
                <w:noProof/>
              </w:rPr>
              <w:t>5.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Sistema idrico e gestione reflui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_Toc226625917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0229B06A" w14:textId="0CE12320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8" w:history="1">
            <w:r w:rsidR="00C20697" w:rsidRPr="00B413A3">
              <w:rPr>
                <w:rStyle w:val="Collegamentoipertestuale"/>
                <w:rFonts w:cs="Arial"/>
                <w:noProof/>
              </w:rPr>
              <w:t>6.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Layout funzionale del Polo Sostenibile di Formazione e Ricerca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_Toc226625918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14617474" w14:textId="0FDF51E3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19" w:history="1">
            <w:r w:rsidR="00C20697" w:rsidRPr="00B413A3">
              <w:rPr>
                <w:rStyle w:val="Collegamentoipertestuale"/>
                <w:rFonts w:cs="Arial"/>
                <w:noProof/>
              </w:rPr>
              <w:t>7.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Logistica di trasporto e installazione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_Toc226625919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79BD447B" w14:textId="2D9CD84B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20" w:history="1">
            <w:r w:rsidR="00C20697" w:rsidRPr="00B413A3">
              <w:rPr>
                <w:rStyle w:val="Collegamentoipertestuale"/>
                <w:rFonts w:cs="Arial"/>
                <w:noProof/>
              </w:rPr>
              <w:t>8.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Facilità di manutenzione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_Toc226625920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6CF91852" w14:textId="306462CF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21" w:history="1">
            <w:r w:rsidR="00C20697" w:rsidRPr="00B413A3">
              <w:rPr>
                <w:rStyle w:val="Collegamentoipertestuale"/>
                <w:rFonts w:cs="Arial"/>
                <w:noProof/>
              </w:rPr>
              <w:t>9.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Piano di assistenza tecnica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_Toc226625921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2B26E286" w14:textId="132EF97E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22" w:history="1">
            <w:r w:rsidR="00C20697" w:rsidRPr="00B413A3">
              <w:rPr>
                <w:rStyle w:val="Collegamentoipertestuale"/>
                <w:rFonts w:cs="Arial"/>
                <w:noProof/>
              </w:rPr>
              <w:t>10.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Robustezza per ambienti severi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_Toc226625922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3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0DCCF557" w14:textId="085BAA05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23" w:history="1">
            <w:r w:rsidR="00C20697" w:rsidRPr="00B413A3">
              <w:rPr>
                <w:rStyle w:val="Collegamentoipertestuale"/>
                <w:rFonts w:cs="Arial"/>
                <w:noProof/>
              </w:rPr>
              <w:t>11.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Sostenibilità ambientale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_Toc226625923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4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0AECC919" w14:textId="47494C30" w:rsidR="00C20697" w:rsidRDefault="00F763EB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it-IT"/>
            </w:rPr>
          </w:pPr>
          <w:hyperlink w:anchor="_Toc226625924" w:history="1">
            <w:r w:rsidR="00C20697" w:rsidRPr="00B413A3">
              <w:rPr>
                <w:rStyle w:val="Collegamentoipertestuale"/>
                <w:rFonts w:cs="Arial"/>
                <w:noProof/>
              </w:rPr>
              <w:t>12.</w:t>
            </w:r>
            <w:r w:rsidR="00C20697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it-IT"/>
              </w:rPr>
              <w:tab/>
            </w:r>
            <w:r w:rsidR="00C20697" w:rsidRPr="00B413A3">
              <w:rPr>
                <w:rStyle w:val="Collegamentoipertestuale"/>
                <w:rFonts w:ascii="Arial" w:hAnsi="Arial" w:cs="Arial"/>
                <w:noProof/>
              </w:rPr>
              <w:t>Qualità complessiva della soluzione progettuale</w:t>
            </w:r>
            <w:r w:rsidR="00C20697">
              <w:rPr>
                <w:noProof/>
                <w:webHidden/>
              </w:rPr>
              <w:tab/>
            </w:r>
            <w:r w:rsidR="00C20697">
              <w:rPr>
                <w:noProof/>
                <w:webHidden/>
              </w:rPr>
              <w:fldChar w:fldCharType="begin"/>
            </w:r>
            <w:r w:rsidR="00C20697">
              <w:rPr>
                <w:noProof/>
                <w:webHidden/>
              </w:rPr>
              <w:instrText xml:space="preserve"> PAGEREF _Toc226625924 \h </w:instrText>
            </w:r>
            <w:r w:rsidR="00C20697">
              <w:rPr>
                <w:noProof/>
                <w:webHidden/>
              </w:rPr>
            </w:r>
            <w:r w:rsidR="00C20697">
              <w:rPr>
                <w:noProof/>
                <w:webHidden/>
              </w:rPr>
              <w:fldChar w:fldCharType="separate"/>
            </w:r>
            <w:r w:rsidR="00C20697">
              <w:rPr>
                <w:noProof/>
                <w:webHidden/>
              </w:rPr>
              <w:t>4</w:t>
            </w:r>
            <w:r w:rsidR="00C20697">
              <w:rPr>
                <w:noProof/>
                <w:webHidden/>
              </w:rPr>
              <w:fldChar w:fldCharType="end"/>
            </w:r>
          </w:hyperlink>
        </w:p>
        <w:p w14:paraId="10E2E0E8" w14:textId="38EB8A4A" w:rsidR="00116548" w:rsidRDefault="00116548">
          <w:r>
            <w:rPr>
              <w:rFonts w:ascii="Manrope" w:eastAsia="Times New Roman" w:hAnsi="Manrope" w:cs="Times New Roman"/>
              <w:sz w:val="20"/>
              <w:szCs w:val="20"/>
            </w:rPr>
            <w:fldChar w:fldCharType="end"/>
          </w:r>
        </w:p>
      </w:sdtContent>
    </w:sdt>
    <w:p w14:paraId="412C5233" w14:textId="77777777" w:rsidR="00901D3D" w:rsidRPr="00CB6C7C" w:rsidRDefault="00901D3D" w:rsidP="008B41E2">
      <w:pPr>
        <w:pStyle w:val="Sommario1"/>
      </w:pPr>
    </w:p>
    <w:p w14:paraId="48DC26BB" w14:textId="36313011" w:rsidR="00901D3D" w:rsidRDefault="00901D3D">
      <w:pPr>
        <w:rPr>
          <w:rFonts w:ascii="Manrope" w:hAnsi="Manrope" w:cs="Frank Ruhl Libre"/>
          <w:b/>
          <w:bCs/>
          <w:sz w:val="20"/>
          <w:szCs w:val="20"/>
        </w:rPr>
      </w:pPr>
      <w:r>
        <w:rPr>
          <w:b/>
          <w:bCs/>
        </w:rPr>
        <w:br w:type="page"/>
      </w:r>
    </w:p>
    <w:p w14:paraId="71CB72F6" w14:textId="54D764F8" w:rsidR="005F7B68" w:rsidRPr="00C20697" w:rsidRDefault="005F7B68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3" w:name="_Toc226625913"/>
      <w:bookmarkEnd w:id="0"/>
      <w:r w:rsidRPr="00C20697">
        <w:rPr>
          <w:rFonts w:ascii="Arial" w:hAnsi="Arial" w:cs="Arial"/>
          <w:szCs w:val="22"/>
        </w:rPr>
        <w:lastRenderedPageBreak/>
        <w:t>Qualità costruttiva dei moduli prefabbricati</w:t>
      </w:r>
      <w:bookmarkEnd w:id="3"/>
    </w:p>
    <w:p w14:paraId="34E9F72E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D1.1</w:t>
      </w:r>
      <w:r w:rsidRPr="00C20697">
        <w:rPr>
          <w:rFonts w:ascii="Arial" w:hAnsi="Arial" w:cs="Arial"/>
        </w:rPr>
        <w:t xml:space="preserve"> qualità dei materiali strutturali e delle finiture; </w:t>
      </w:r>
    </w:p>
    <w:p w14:paraId="0EBC66F9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D1.2</w:t>
      </w:r>
      <w:r w:rsidRPr="00C20697">
        <w:rPr>
          <w:rFonts w:ascii="Arial" w:hAnsi="Arial" w:cs="Arial"/>
        </w:rPr>
        <w:t xml:space="preserve"> trattamenti anticorrosione e protezione per ambiente marino; </w:t>
      </w:r>
    </w:p>
    <w:p w14:paraId="6CC707F7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D1.3</w:t>
      </w:r>
      <w:r w:rsidRPr="00C20697">
        <w:rPr>
          <w:rFonts w:ascii="Arial" w:hAnsi="Arial" w:cs="Arial"/>
        </w:rPr>
        <w:t xml:space="preserve"> robustezza e resistenza strutturale dei moduli; </w:t>
      </w:r>
    </w:p>
    <w:p w14:paraId="2A8980B3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D1.4</w:t>
      </w:r>
      <w:r w:rsidRPr="00C20697">
        <w:rPr>
          <w:rFonts w:ascii="Arial" w:hAnsi="Arial" w:cs="Arial"/>
        </w:rPr>
        <w:t xml:space="preserve"> durabilità complessiva e ciclo di vita della struttura. </w:t>
      </w:r>
    </w:p>
    <w:p w14:paraId="78A40FCE" w14:textId="48FF5D0D" w:rsidR="005F7B68" w:rsidRPr="00C20697" w:rsidRDefault="005F7B68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</w:p>
    <w:p w14:paraId="07A1A873" w14:textId="162C5BD4" w:rsidR="005F7B68" w:rsidRPr="00C20697" w:rsidRDefault="007B3DD2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4" w:name="_Toc226625914"/>
      <w:r w:rsidRPr="00C20697">
        <w:rPr>
          <w:rFonts w:ascii="Arial" w:hAnsi="Arial" w:cs="Arial"/>
          <w:szCs w:val="22"/>
        </w:rPr>
        <w:t>Prestazioni termo-climatiche dell’involucro</w:t>
      </w:r>
      <w:bookmarkEnd w:id="4"/>
    </w:p>
    <w:p w14:paraId="0927B381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D2.1</w:t>
      </w:r>
      <w:r w:rsidRPr="00C20697">
        <w:rPr>
          <w:rFonts w:ascii="Arial" w:hAnsi="Arial" w:cs="Arial"/>
        </w:rPr>
        <w:t xml:space="preserve"> isolamento termico delle pareti e delle coperture; </w:t>
      </w:r>
    </w:p>
    <w:p w14:paraId="531DFFAE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D2.2</w:t>
      </w:r>
      <w:r w:rsidRPr="00C20697">
        <w:rPr>
          <w:rFonts w:ascii="Arial" w:hAnsi="Arial" w:cs="Arial"/>
        </w:rPr>
        <w:t xml:space="preserve"> sistemi di schermatura solare e riduzione dei carichi termici; </w:t>
      </w:r>
    </w:p>
    <w:p w14:paraId="40E6894F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D2.3</w:t>
      </w:r>
      <w:r w:rsidRPr="00C20697">
        <w:rPr>
          <w:rFonts w:ascii="Arial" w:hAnsi="Arial" w:cs="Arial"/>
        </w:rPr>
        <w:t xml:space="preserve"> soluzioni passive di ventilazione naturale. </w:t>
      </w:r>
    </w:p>
    <w:p w14:paraId="48C44CC0" w14:textId="77777777" w:rsidR="008B41E2" w:rsidRPr="00C20697" w:rsidRDefault="008B41E2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</w:p>
    <w:p w14:paraId="76FD4880" w14:textId="696EA70A" w:rsidR="00116548" w:rsidRPr="00C20697" w:rsidRDefault="00116548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5" w:name="_Toc226625915"/>
      <w:r w:rsidRPr="00C20697">
        <w:rPr>
          <w:rFonts w:ascii="Arial" w:hAnsi="Arial" w:cs="Arial"/>
          <w:szCs w:val="22"/>
        </w:rPr>
        <w:t>Sistema di ventilazione</w:t>
      </w:r>
      <w:bookmarkEnd w:id="5"/>
    </w:p>
    <w:p w14:paraId="1B67239F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D3.1</w:t>
      </w:r>
      <w:r w:rsidRPr="00C20697">
        <w:rPr>
          <w:rFonts w:ascii="Arial" w:hAnsi="Arial" w:cs="Arial"/>
        </w:rPr>
        <w:t xml:space="preserve"> efficienza energetica dei sistemi di climatizzazione; </w:t>
      </w:r>
    </w:p>
    <w:p w14:paraId="5ECE3BEA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D3.2</w:t>
      </w:r>
      <w:r w:rsidRPr="00C20697">
        <w:rPr>
          <w:rFonts w:ascii="Arial" w:hAnsi="Arial" w:cs="Arial"/>
        </w:rPr>
        <w:t xml:space="preserve"> ridondanza e affidabilità degli impianti; </w:t>
      </w:r>
    </w:p>
    <w:p w14:paraId="49F10935" w14:textId="05882DBA" w:rsidR="008B41E2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  <w:r w:rsidRPr="00C20697">
        <w:rPr>
          <w:rFonts w:ascii="Arial" w:hAnsi="Arial" w:cs="Arial"/>
          <w:b/>
          <w:sz w:val="22"/>
          <w:szCs w:val="22"/>
          <w:lang w:val="it-IT"/>
        </w:rPr>
        <w:t>D3.3</w:t>
      </w:r>
      <w:r w:rsidRPr="00C20697">
        <w:rPr>
          <w:rFonts w:ascii="Arial" w:hAnsi="Arial" w:cs="Arial"/>
          <w:sz w:val="22"/>
          <w:szCs w:val="22"/>
          <w:lang w:val="it-IT"/>
        </w:rPr>
        <w:t xml:space="preserve"> filtrazione dell’aria contro polveri e sabbia.</w:t>
      </w:r>
    </w:p>
    <w:p w14:paraId="544EF1AA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</w:p>
    <w:p w14:paraId="7D7D4408" w14:textId="5AC5C33C" w:rsidR="008B41E2" w:rsidRPr="00C20697" w:rsidRDefault="008B41E2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6" w:name="_Toc226625916"/>
      <w:r w:rsidRPr="00C20697">
        <w:rPr>
          <w:rFonts w:ascii="Arial" w:hAnsi="Arial" w:cs="Arial"/>
          <w:szCs w:val="22"/>
        </w:rPr>
        <w:t>Sistema di autosufficienza energetica</w:t>
      </w:r>
      <w:bookmarkEnd w:id="6"/>
    </w:p>
    <w:p w14:paraId="50E8B5AC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D4.1</w:t>
      </w:r>
      <w:r w:rsidRPr="00C20697">
        <w:rPr>
          <w:rFonts w:ascii="Arial" w:hAnsi="Arial" w:cs="Arial"/>
        </w:rPr>
        <w:t xml:space="preserve"> dimensionamento e qualità dell’impianto fotovoltaico; </w:t>
      </w:r>
    </w:p>
    <w:p w14:paraId="0A8E6BAB" w14:textId="77777777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D4.2</w:t>
      </w:r>
      <w:r w:rsidRPr="00C20697">
        <w:rPr>
          <w:rFonts w:ascii="Arial" w:hAnsi="Arial" w:cs="Arial"/>
        </w:rPr>
        <w:t xml:space="preserve"> capacità e tecnologia dei sistemi di accumulo; </w:t>
      </w:r>
    </w:p>
    <w:p w14:paraId="14C52CFB" w14:textId="58C514CD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  <w:r w:rsidRPr="00C20697">
        <w:rPr>
          <w:rFonts w:ascii="Arial" w:hAnsi="Arial" w:cs="Arial"/>
          <w:b/>
        </w:rPr>
        <w:t>D4.3</w:t>
      </w:r>
      <w:r w:rsidRPr="00C20697">
        <w:rPr>
          <w:rFonts w:ascii="Arial" w:hAnsi="Arial" w:cs="Arial"/>
        </w:rPr>
        <w:t xml:space="preserve"> integrazione con generatori di backup.</w:t>
      </w:r>
    </w:p>
    <w:p w14:paraId="1BBBD08B" w14:textId="0F3C36B2" w:rsidR="00C436DE" w:rsidRPr="00C20697" w:rsidRDefault="00C436DE" w:rsidP="00C20697">
      <w:pPr>
        <w:spacing w:after="0" w:line="276" w:lineRule="auto"/>
        <w:rPr>
          <w:rFonts w:ascii="Arial" w:hAnsi="Arial" w:cs="Arial"/>
        </w:rPr>
      </w:pPr>
    </w:p>
    <w:p w14:paraId="2BD43C7B" w14:textId="77777777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7" w:name="_Toc226625917"/>
      <w:r w:rsidRPr="00C20697">
        <w:rPr>
          <w:rFonts w:ascii="Arial" w:hAnsi="Arial" w:cs="Arial"/>
          <w:szCs w:val="22"/>
        </w:rPr>
        <w:t>Sistema idrico e gestione reflui</w:t>
      </w:r>
      <w:bookmarkEnd w:id="7"/>
      <w:r w:rsidRPr="00C20697">
        <w:rPr>
          <w:rFonts w:ascii="Arial" w:hAnsi="Arial" w:cs="Arial"/>
          <w:szCs w:val="22"/>
        </w:rPr>
        <w:t xml:space="preserve"> </w:t>
      </w:r>
    </w:p>
    <w:p w14:paraId="5A2317BA" w14:textId="1E6FF66F" w:rsidR="00C436DE" w:rsidRPr="00C20697" w:rsidRDefault="00C436DE" w:rsidP="00C20697">
      <w:pPr>
        <w:spacing w:after="0" w:line="276" w:lineRule="auto"/>
        <w:rPr>
          <w:rFonts w:ascii="Arial" w:hAnsi="Arial" w:cs="Arial"/>
          <w:bCs/>
        </w:rPr>
      </w:pPr>
      <w:r w:rsidRPr="00C20697">
        <w:rPr>
          <w:rFonts w:ascii="Arial" w:hAnsi="Arial" w:cs="Arial"/>
          <w:b/>
        </w:rPr>
        <w:tab/>
        <w:t xml:space="preserve">D5.1 </w:t>
      </w:r>
      <w:r w:rsidRPr="00C20697">
        <w:rPr>
          <w:rFonts w:ascii="Arial" w:hAnsi="Arial" w:cs="Arial"/>
          <w:bCs/>
        </w:rPr>
        <w:t xml:space="preserve">capacità e affidabilità dei sistemi di stoccaggio acqua; </w:t>
      </w:r>
    </w:p>
    <w:p w14:paraId="0F5227AB" w14:textId="5CED3727" w:rsidR="00C436DE" w:rsidRPr="00C20697" w:rsidRDefault="00C436DE" w:rsidP="00C20697">
      <w:pPr>
        <w:spacing w:after="0" w:line="276" w:lineRule="auto"/>
        <w:rPr>
          <w:rFonts w:ascii="Arial" w:hAnsi="Arial" w:cs="Arial"/>
          <w:bCs/>
        </w:rPr>
      </w:pPr>
      <w:r w:rsidRPr="00C20697">
        <w:rPr>
          <w:rFonts w:ascii="Arial" w:hAnsi="Arial" w:cs="Arial"/>
          <w:b/>
        </w:rPr>
        <w:t xml:space="preserve">D5.2 </w:t>
      </w:r>
      <w:r w:rsidRPr="00C20697">
        <w:rPr>
          <w:rFonts w:ascii="Arial" w:hAnsi="Arial" w:cs="Arial"/>
          <w:bCs/>
        </w:rPr>
        <w:t>sistemi di trattamento delle acque e gestione dei reflui.</w:t>
      </w:r>
    </w:p>
    <w:p w14:paraId="1369AC09" w14:textId="57F99914" w:rsidR="00C436DE" w:rsidRPr="00C20697" w:rsidRDefault="00C436DE" w:rsidP="00C20697">
      <w:pPr>
        <w:spacing w:after="0" w:line="276" w:lineRule="auto"/>
        <w:rPr>
          <w:rFonts w:ascii="Arial" w:hAnsi="Arial" w:cs="Arial"/>
          <w:bCs/>
        </w:rPr>
      </w:pPr>
    </w:p>
    <w:p w14:paraId="1D727CDE" w14:textId="3351BC6C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8" w:name="_Toc226625918"/>
      <w:r w:rsidRPr="00C20697">
        <w:rPr>
          <w:rFonts w:ascii="Arial" w:hAnsi="Arial" w:cs="Arial"/>
          <w:szCs w:val="22"/>
        </w:rPr>
        <w:t>Layout funzionale del Polo Sostenibile di Formazione e Ricerca</w:t>
      </w:r>
      <w:bookmarkEnd w:id="8"/>
    </w:p>
    <w:p w14:paraId="73DF2667" w14:textId="66AFA983" w:rsidR="00C436DE" w:rsidRPr="00C20697" w:rsidRDefault="00C436DE" w:rsidP="00C20697">
      <w:pPr>
        <w:spacing w:after="0" w:line="276" w:lineRule="auto"/>
        <w:rPr>
          <w:rFonts w:ascii="Arial" w:hAnsi="Arial" w:cs="Arial"/>
          <w:b/>
        </w:rPr>
      </w:pPr>
      <w:r w:rsidRPr="00C20697">
        <w:rPr>
          <w:rFonts w:ascii="Arial" w:hAnsi="Arial" w:cs="Arial"/>
          <w:b/>
        </w:rPr>
        <w:t xml:space="preserve">D6.1 </w:t>
      </w:r>
      <w:r w:rsidRPr="00C20697">
        <w:rPr>
          <w:rFonts w:ascii="Arial" w:hAnsi="Arial" w:cs="Arial"/>
          <w:bCs/>
        </w:rPr>
        <w:t>organizzazione degli spazi tra alloggi, servizi e uffici;</w:t>
      </w:r>
      <w:r w:rsidRPr="00C20697">
        <w:rPr>
          <w:rFonts w:ascii="Arial" w:hAnsi="Arial" w:cs="Arial"/>
          <w:b/>
        </w:rPr>
        <w:t xml:space="preserve"> </w:t>
      </w:r>
    </w:p>
    <w:p w14:paraId="140B081C" w14:textId="64686906" w:rsidR="00C436DE" w:rsidRPr="00C20697" w:rsidRDefault="00C436DE" w:rsidP="00C20697">
      <w:pPr>
        <w:spacing w:after="0" w:line="276" w:lineRule="auto"/>
        <w:rPr>
          <w:rFonts w:ascii="Arial" w:hAnsi="Arial" w:cs="Arial"/>
          <w:bCs/>
        </w:rPr>
      </w:pPr>
      <w:r w:rsidRPr="00C20697">
        <w:rPr>
          <w:rFonts w:ascii="Arial" w:hAnsi="Arial" w:cs="Arial"/>
          <w:b/>
        </w:rPr>
        <w:tab/>
        <w:t xml:space="preserve">D6.2 </w:t>
      </w:r>
      <w:r w:rsidRPr="00C20697">
        <w:rPr>
          <w:rFonts w:ascii="Arial" w:hAnsi="Arial" w:cs="Arial"/>
          <w:bCs/>
        </w:rPr>
        <w:t>funzionalità dei percorsi e accessibilità;</w:t>
      </w:r>
    </w:p>
    <w:p w14:paraId="14920983" w14:textId="4183A382" w:rsidR="00C436DE" w:rsidRPr="00C20697" w:rsidRDefault="00C436DE" w:rsidP="00C20697">
      <w:pPr>
        <w:spacing w:after="0" w:line="276" w:lineRule="auto"/>
        <w:rPr>
          <w:rFonts w:ascii="Arial" w:hAnsi="Arial" w:cs="Arial"/>
          <w:bCs/>
        </w:rPr>
      </w:pPr>
    </w:p>
    <w:p w14:paraId="72247F8D" w14:textId="2CFF4DF1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9" w:name="_Toc226625919"/>
      <w:r w:rsidRPr="00C20697">
        <w:rPr>
          <w:rFonts w:ascii="Arial" w:hAnsi="Arial" w:cs="Arial"/>
          <w:szCs w:val="22"/>
        </w:rPr>
        <w:t>Logistica di trasporto e installazione</w:t>
      </w:r>
      <w:bookmarkEnd w:id="9"/>
    </w:p>
    <w:p w14:paraId="694A5421" w14:textId="495455B4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>D7.1</w:t>
      </w:r>
      <w:r w:rsidRPr="00C20697">
        <w:rPr>
          <w:rFonts w:ascii="Arial" w:hAnsi="Arial" w:cs="Arial"/>
          <w:sz w:val="22"/>
          <w:szCs w:val="22"/>
          <w:lang w:val="it-IT"/>
        </w:rPr>
        <w:t xml:space="preserve"> piano logistico di </w:t>
      </w:r>
      <w:r w:rsidR="00F763EB">
        <w:rPr>
          <w:rFonts w:ascii="Arial" w:hAnsi="Arial" w:cs="Arial"/>
          <w:sz w:val="22"/>
          <w:szCs w:val="22"/>
          <w:lang w:val="it-IT"/>
        </w:rPr>
        <w:t>esecuzione</w:t>
      </w:r>
      <w:r w:rsidRPr="00C20697">
        <w:rPr>
          <w:rFonts w:ascii="Arial" w:hAnsi="Arial" w:cs="Arial"/>
          <w:sz w:val="22"/>
          <w:szCs w:val="22"/>
          <w:lang w:val="it-IT"/>
        </w:rPr>
        <w:t xml:space="preserve"> internazionale; </w:t>
      </w:r>
    </w:p>
    <w:p w14:paraId="6FDFC483" w14:textId="3A1870CA" w:rsidR="008B41E2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>D7.2</w:t>
      </w:r>
      <w:r w:rsidRPr="00C20697">
        <w:rPr>
          <w:rFonts w:ascii="Arial" w:hAnsi="Arial" w:cs="Arial"/>
          <w:sz w:val="22"/>
          <w:szCs w:val="22"/>
          <w:lang w:val="it-IT"/>
        </w:rPr>
        <w:t xml:space="preserve"> tempi e semplicità di montaggio in sito.</w:t>
      </w:r>
    </w:p>
    <w:p w14:paraId="56ABC16F" w14:textId="1628A72D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</w:p>
    <w:p w14:paraId="30A239BF" w14:textId="385C50ED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10" w:name="_Toc226625920"/>
      <w:r w:rsidRPr="00C20697">
        <w:rPr>
          <w:rFonts w:ascii="Arial" w:hAnsi="Arial" w:cs="Arial"/>
          <w:szCs w:val="22"/>
        </w:rPr>
        <w:t>Facilità di manutenzione</w:t>
      </w:r>
      <w:bookmarkEnd w:id="10"/>
    </w:p>
    <w:p w14:paraId="6C7002E7" w14:textId="33B72B32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D8.1 </w:t>
      </w:r>
      <w:r w:rsidRPr="00C20697">
        <w:rPr>
          <w:rFonts w:ascii="Arial" w:hAnsi="Arial" w:cs="Arial"/>
          <w:sz w:val="22"/>
          <w:szCs w:val="22"/>
          <w:lang w:val="it-IT"/>
        </w:rPr>
        <w:t>accessibilità agli impianti tecnologici;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489970DC" w14:textId="5D61DD74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D8.2 </w:t>
      </w:r>
      <w:r w:rsidRPr="00C20697">
        <w:rPr>
          <w:rFonts w:ascii="Arial" w:hAnsi="Arial" w:cs="Arial"/>
          <w:sz w:val="22"/>
          <w:szCs w:val="22"/>
          <w:lang w:val="it-IT"/>
        </w:rPr>
        <w:t>modularità dei componenti e ricambi.</w:t>
      </w:r>
    </w:p>
    <w:p w14:paraId="0E798D86" w14:textId="6837141C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</w:p>
    <w:p w14:paraId="240B6C7C" w14:textId="70F5E0B7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11" w:name="_Toc226625921"/>
      <w:r w:rsidRPr="00C20697">
        <w:rPr>
          <w:rFonts w:ascii="Arial" w:hAnsi="Arial" w:cs="Arial"/>
          <w:szCs w:val="22"/>
        </w:rPr>
        <w:t>Piano di assistenza tecnica</w:t>
      </w:r>
      <w:bookmarkEnd w:id="11"/>
    </w:p>
    <w:p w14:paraId="450973C1" w14:textId="73B6D57E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D9.1 </w:t>
      </w:r>
      <w:r w:rsidRPr="00C20697">
        <w:rPr>
          <w:rFonts w:ascii="Arial" w:hAnsi="Arial" w:cs="Arial"/>
          <w:sz w:val="22"/>
          <w:szCs w:val="22"/>
          <w:lang w:val="it-IT"/>
        </w:rPr>
        <w:t>organizzazione del servizio di assistenza;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33551A85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D9.2 </w:t>
      </w:r>
      <w:r w:rsidRPr="00C20697">
        <w:rPr>
          <w:rFonts w:ascii="Arial" w:hAnsi="Arial" w:cs="Arial"/>
          <w:sz w:val="22"/>
          <w:szCs w:val="22"/>
          <w:lang w:val="it-IT"/>
        </w:rPr>
        <w:t>disponibilità ricambi e tempi di intervento;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23BAC531" w14:textId="59561D3B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D9.3 </w:t>
      </w:r>
      <w:r w:rsidRPr="00C20697">
        <w:rPr>
          <w:rFonts w:ascii="Arial" w:hAnsi="Arial" w:cs="Arial"/>
          <w:sz w:val="22"/>
          <w:szCs w:val="22"/>
          <w:lang w:val="it-IT"/>
        </w:rPr>
        <w:t>formazione del personale utilizzatore.</w:t>
      </w:r>
    </w:p>
    <w:p w14:paraId="57AC4B21" w14:textId="4FD58C9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E7F55DF" w14:textId="6548F4EC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12" w:name="_Toc226625922"/>
      <w:r w:rsidRPr="00C20697">
        <w:rPr>
          <w:rFonts w:ascii="Arial" w:hAnsi="Arial" w:cs="Arial"/>
          <w:szCs w:val="22"/>
        </w:rPr>
        <w:t>Robustezza per ambienti severi</w:t>
      </w:r>
      <w:bookmarkEnd w:id="12"/>
    </w:p>
    <w:p w14:paraId="2FB2DD68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D10.1 </w:t>
      </w:r>
      <w:r w:rsidRPr="00C20697">
        <w:rPr>
          <w:rFonts w:ascii="Arial" w:hAnsi="Arial" w:cs="Arial"/>
          <w:sz w:val="22"/>
          <w:szCs w:val="22"/>
          <w:lang w:val="it-IT"/>
        </w:rPr>
        <w:t>resistenza a polveri e sabbia;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0299FE74" w14:textId="383A4D43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ab/>
        <w:t xml:space="preserve">D10.2 </w:t>
      </w:r>
      <w:r w:rsidRPr="00C20697">
        <w:rPr>
          <w:rFonts w:ascii="Arial" w:hAnsi="Arial" w:cs="Arial"/>
          <w:sz w:val="22"/>
          <w:szCs w:val="22"/>
          <w:lang w:val="it-IT"/>
        </w:rPr>
        <w:t>resistenza alla salsedine;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3AE8E62D" w14:textId="7BE4AA75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D10.3 </w:t>
      </w:r>
      <w:r w:rsidRPr="00C20697">
        <w:rPr>
          <w:rFonts w:ascii="Arial" w:hAnsi="Arial" w:cs="Arial"/>
          <w:sz w:val="22"/>
          <w:szCs w:val="22"/>
          <w:lang w:val="it-IT"/>
        </w:rPr>
        <w:t>affidabilità degli impianti in condizioni climatiche estreme.</w:t>
      </w:r>
    </w:p>
    <w:p w14:paraId="19956086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sz w:val="22"/>
          <w:szCs w:val="22"/>
          <w:lang w:val="it-IT"/>
        </w:rPr>
      </w:pPr>
    </w:p>
    <w:p w14:paraId="265E71C2" w14:textId="73BCCA39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13" w:name="_Toc226625923"/>
      <w:r w:rsidRPr="00C20697">
        <w:rPr>
          <w:rFonts w:ascii="Arial" w:hAnsi="Arial" w:cs="Arial"/>
          <w:szCs w:val="22"/>
        </w:rPr>
        <w:t>Sostenibilità ambientale</w:t>
      </w:r>
      <w:bookmarkEnd w:id="13"/>
    </w:p>
    <w:p w14:paraId="1EB81096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D11.1 </w:t>
      </w:r>
      <w:r w:rsidRPr="00C20697">
        <w:rPr>
          <w:rFonts w:ascii="Arial" w:hAnsi="Arial" w:cs="Arial"/>
          <w:sz w:val="22"/>
          <w:szCs w:val="22"/>
          <w:lang w:val="it-IT"/>
        </w:rPr>
        <w:t>efficienza energetica complessiva del campo base;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258DFBA4" w14:textId="36301A9A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D11.2 </w:t>
      </w:r>
      <w:r w:rsidRPr="00C20697">
        <w:rPr>
          <w:rFonts w:ascii="Arial" w:hAnsi="Arial" w:cs="Arial"/>
          <w:sz w:val="22"/>
          <w:szCs w:val="22"/>
          <w:lang w:val="it-IT"/>
        </w:rPr>
        <w:t>riduzione dei consumi idrici;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2CA6F0CF" w14:textId="1B70F1AB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sz w:val="22"/>
          <w:szCs w:val="22"/>
          <w:lang w:val="it-IT"/>
        </w:rPr>
      </w:pPr>
    </w:p>
    <w:p w14:paraId="56F3F700" w14:textId="60866D82" w:rsidR="00C436DE" w:rsidRPr="00C20697" w:rsidRDefault="00C436DE" w:rsidP="00C20697">
      <w:pPr>
        <w:pStyle w:val="Titolo1"/>
        <w:spacing w:line="276" w:lineRule="auto"/>
        <w:rPr>
          <w:rFonts w:ascii="Arial" w:hAnsi="Arial" w:cs="Arial"/>
          <w:szCs w:val="22"/>
        </w:rPr>
      </w:pPr>
      <w:bookmarkStart w:id="14" w:name="_Toc226625924"/>
      <w:r w:rsidRPr="00C20697">
        <w:rPr>
          <w:rFonts w:ascii="Arial" w:hAnsi="Arial" w:cs="Arial"/>
          <w:szCs w:val="22"/>
        </w:rPr>
        <w:t>Qualità complessiva della soluzione progettuale</w:t>
      </w:r>
      <w:bookmarkEnd w:id="14"/>
    </w:p>
    <w:p w14:paraId="1E316B2F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D12.1 </w:t>
      </w:r>
      <w:r w:rsidRPr="00C20697">
        <w:rPr>
          <w:rFonts w:ascii="Arial" w:hAnsi="Arial" w:cs="Arial"/>
          <w:sz w:val="22"/>
          <w:szCs w:val="22"/>
          <w:lang w:val="it-IT"/>
        </w:rPr>
        <w:t>coerenza tecnica della soluzione proposta;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68E9BBE5" w14:textId="77777777" w:rsidR="00C436DE" w:rsidRPr="00C20697" w:rsidRDefault="00C436DE" w:rsidP="00C20697">
      <w:pPr>
        <w:pStyle w:val="BodySPAZIO"/>
        <w:spacing w:after="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D12.2 </w:t>
      </w:r>
      <w:r w:rsidRPr="00C20697">
        <w:rPr>
          <w:rFonts w:ascii="Arial" w:hAnsi="Arial" w:cs="Arial"/>
          <w:sz w:val="22"/>
          <w:szCs w:val="22"/>
          <w:lang w:val="it-IT"/>
        </w:rPr>
        <w:t>integrazione dei sistemi tecnologici.</w:t>
      </w:r>
      <w:r w:rsidRPr="00C2069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2023F317" w14:textId="77777777" w:rsidR="00C436DE" w:rsidRPr="00C436DE" w:rsidRDefault="00C436DE" w:rsidP="00C436DE">
      <w:pPr>
        <w:pStyle w:val="BodySPAZIO"/>
        <w:spacing w:after="0" w:line="276" w:lineRule="auto"/>
        <w:rPr>
          <w:rFonts w:asciiTheme="majorHAnsi" w:hAnsiTheme="majorHAnsi" w:cs="Arial"/>
          <w:b/>
          <w:bCs/>
          <w:lang w:val="it-IT"/>
        </w:rPr>
      </w:pPr>
    </w:p>
    <w:sectPr w:rsidR="00C436DE" w:rsidRPr="00C436DE" w:rsidSect="00164DC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134" w:left="1134" w:header="65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DECF" w14:textId="77777777" w:rsidR="00A93F9D" w:rsidRDefault="00A93F9D" w:rsidP="00A93F9D">
      <w:pPr>
        <w:spacing w:after="0" w:line="240" w:lineRule="auto"/>
      </w:pPr>
      <w:r>
        <w:separator/>
      </w:r>
    </w:p>
  </w:endnote>
  <w:endnote w:type="continuationSeparator" w:id="0">
    <w:p w14:paraId="1BCC1C70" w14:textId="77777777" w:rsidR="00A93F9D" w:rsidRDefault="00A93F9D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rope">
    <w:altName w:val="Manrope"/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37FA25AF-2286-4BDA-862D-C3196B9AD27D}"/>
    <w:embedBold r:id="rId2" w:fontKey="{3E2563C6-3C55-4B86-96FF-A3009FF0A64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 Ruhl Libre">
    <w:altName w:val="Frank Ruhl Libre"/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5199AD2B" w14:textId="77777777" w:rsidR="005F7B68" w:rsidRDefault="00730338" w:rsidP="005F7B68">
        <w:pPr>
          <w:pStyle w:val="Footer"/>
          <w:spacing w:before="240"/>
        </w:pPr>
        <w:r>
          <w:t xml:space="preserve">Relazione tecnica </w:t>
        </w:r>
        <w:r w:rsidR="005F7B68" w:rsidRPr="005F7B68">
          <w:t xml:space="preserve">GARA EUROPEA A PROCEDURA TELEMATICA APERTA PER LA FORNITURA, TRASPORTO E INSTALLAZIONE DI SISTEMI PREFABBRICATI MODULARI PRESSO IL SITO ARCHEOLOGICO DI ADULIS IN ERITREA </w:t>
        </w:r>
      </w:p>
      <w:p w14:paraId="68D9D6A4" w14:textId="0789EEC5" w:rsidR="0015690B" w:rsidRPr="007523DF" w:rsidRDefault="0066002A" w:rsidP="005F7B68">
        <w:pPr>
          <w:pStyle w:val="Footer"/>
          <w:jc w:val="right"/>
        </w:pPr>
        <w:r w:rsidRPr="007523DF">
          <w:fldChar w:fldCharType="begin"/>
        </w:r>
        <w:r w:rsidRPr="007523DF">
          <w:instrText>PAGE   \* MERGEFORMAT</w:instrText>
        </w:r>
        <w:r w:rsidRPr="007523DF">
          <w:fldChar w:fldCharType="separate"/>
        </w:r>
        <w:r w:rsidRPr="007523DF">
          <w:t>2</w:t>
        </w:r>
        <w:r w:rsidRPr="007523D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9F45" w14:textId="3278C122" w:rsidR="00C45008" w:rsidRDefault="00C45008" w:rsidP="00A93CA4">
    <w:pPr>
      <w:pStyle w:val="spazio20"/>
    </w:pPr>
  </w:p>
  <w:p w14:paraId="5EEC7673" w14:textId="42740E74" w:rsidR="00B535F6" w:rsidRPr="002F3687" w:rsidRDefault="002F3687" w:rsidP="00736234">
    <w:pPr>
      <w:pStyle w:val="Footer"/>
      <w:rPr>
        <w:b/>
        <w:bCs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06CD" w14:textId="77777777" w:rsidR="00A93F9D" w:rsidRDefault="00A93F9D" w:rsidP="00A93F9D">
      <w:pPr>
        <w:spacing w:after="0" w:line="240" w:lineRule="auto"/>
      </w:pPr>
      <w:r>
        <w:separator/>
      </w:r>
    </w:p>
  </w:footnote>
  <w:footnote w:type="continuationSeparator" w:id="0">
    <w:p w14:paraId="05D2BD13" w14:textId="77777777" w:rsidR="00A93F9D" w:rsidRDefault="00A93F9D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0CB5DD10" w14:textId="77777777" w:rsidTr="00164DC9">
      <w:tc>
        <w:tcPr>
          <w:tcW w:w="9628" w:type="dxa"/>
        </w:tcPr>
        <w:p w14:paraId="04B0C658" w14:textId="518B7452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6DFA3CD6" wp14:editId="33FCCFC9">
                <wp:extent cx="1728000" cy="576000"/>
                <wp:effectExtent l="0" t="0" r="571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C09601" w14:textId="77777777" w:rsidR="00730C76" w:rsidRDefault="00730C76" w:rsidP="00164DC9">
    <w:pPr>
      <w:pStyle w:val="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6BC97110" w14:textId="77777777" w:rsidTr="00164DC9">
      <w:tc>
        <w:tcPr>
          <w:tcW w:w="9628" w:type="dxa"/>
        </w:tcPr>
        <w:p w14:paraId="3E7363D3" w14:textId="0D0DA785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5FE052C9" wp14:editId="3E7BFAF3">
                <wp:extent cx="1728000" cy="576000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54C396" w14:textId="77777777" w:rsidR="00164DC9" w:rsidRDefault="00164DC9" w:rsidP="00164DC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1B3E"/>
    <w:multiLevelType w:val="hybridMultilevel"/>
    <w:tmpl w:val="AE36D480"/>
    <w:lvl w:ilvl="0" w:tplc="619ACF42">
      <w:start w:val="1"/>
      <w:numFmt w:val="decimal"/>
      <w:pStyle w:val="Titolo1"/>
      <w:lvlText w:val="%1."/>
      <w:lvlJc w:val="left"/>
      <w:pPr>
        <w:ind w:left="587" w:hanging="360"/>
      </w:pPr>
      <w:rPr>
        <w:rFonts w:ascii="Manrope" w:hAnsi="Manrope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defaultTabStop w:val="0"/>
  <w:hyphenationZone w:val="283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2471E"/>
    <w:rsid w:val="000317D1"/>
    <w:rsid w:val="0007696E"/>
    <w:rsid w:val="000A2977"/>
    <w:rsid w:val="000B28D1"/>
    <w:rsid w:val="000B645F"/>
    <w:rsid w:val="000C505B"/>
    <w:rsid w:val="000C7E89"/>
    <w:rsid w:val="000F5CDF"/>
    <w:rsid w:val="0010032B"/>
    <w:rsid w:val="001163F6"/>
    <w:rsid w:val="00116548"/>
    <w:rsid w:val="00123432"/>
    <w:rsid w:val="00136F3C"/>
    <w:rsid w:val="00147994"/>
    <w:rsid w:val="001551AD"/>
    <w:rsid w:val="0015690B"/>
    <w:rsid w:val="00164DC9"/>
    <w:rsid w:val="00170CD5"/>
    <w:rsid w:val="00193368"/>
    <w:rsid w:val="0019553C"/>
    <w:rsid w:val="001A29E6"/>
    <w:rsid w:val="001A69C5"/>
    <w:rsid w:val="001E53D3"/>
    <w:rsid w:val="001F0550"/>
    <w:rsid w:val="001F7EF0"/>
    <w:rsid w:val="00242443"/>
    <w:rsid w:val="00255680"/>
    <w:rsid w:val="0026360C"/>
    <w:rsid w:val="002665ED"/>
    <w:rsid w:val="00275926"/>
    <w:rsid w:val="002A20E6"/>
    <w:rsid w:val="002A698A"/>
    <w:rsid w:val="002B3513"/>
    <w:rsid w:val="002D55D5"/>
    <w:rsid w:val="002F3687"/>
    <w:rsid w:val="00320188"/>
    <w:rsid w:val="00322693"/>
    <w:rsid w:val="003254D0"/>
    <w:rsid w:val="003568EE"/>
    <w:rsid w:val="0037620C"/>
    <w:rsid w:val="0038657B"/>
    <w:rsid w:val="00394E3D"/>
    <w:rsid w:val="003B582F"/>
    <w:rsid w:val="003C67FD"/>
    <w:rsid w:val="003C7F3C"/>
    <w:rsid w:val="003D4216"/>
    <w:rsid w:val="003E033E"/>
    <w:rsid w:val="004015E7"/>
    <w:rsid w:val="004646A6"/>
    <w:rsid w:val="00470437"/>
    <w:rsid w:val="004718F8"/>
    <w:rsid w:val="00475134"/>
    <w:rsid w:val="00481866"/>
    <w:rsid w:val="00484D9D"/>
    <w:rsid w:val="00492069"/>
    <w:rsid w:val="004E02B9"/>
    <w:rsid w:val="004E4BEC"/>
    <w:rsid w:val="004E7AB7"/>
    <w:rsid w:val="0050640B"/>
    <w:rsid w:val="0051117E"/>
    <w:rsid w:val="00537FB1"/>
    <w:rsid w:val="00540635"/>
    <w:rsid w:val="00541756"/>
    <w:rsid w:val="0056076D"/>
    <w:rsid w:val="00577769"/>
    <w:rsid w:val="005A72D6"/>
    <w:rsid w:val="005F7B68"/>
    <w:rsid w:val="00615E9F"/>
    <w:rsid w:val="00625C13"/>
    <w:rsid w:val="006470BD"/>
    <w:rsid w:val="006559A2"/>
    <w:rsid w:val="0066002A"/>
    <w:rsid w:val="00692DDA"/>
    <w:rsid w:val="006B7C72"/>
    <w:rsid w:val="006C2FA9"/>
    <w:rsid w:val="006D7FE7"/>
    <w:rsid w:val="006E0663"/>
    <w:rsid w:val="006E38C9"/>
    <w:rsid w:val="006F2697"/>
    <w:rsid w:val="006F4204"/>
    <w:rsid w:val="006F653A"/>
    <w:rsid w:val="00700EE6"/>
    <w:rsid w:val="00701730"/>
    <w:rsid w:val="00705793"/>
    <w:rsid w:val="00730338"/>
    <w:rsid w:val="00730C76"/>
    <w:rsid w:val="00736234"/>
    <w:rsid w:val="007515B7"/>
    <w:rsid w:val="007523DF"/>
    <w:rsid w:val="007776B3"/>
    <w:rsid w:val="007946F7"/>
    <w:rsid w:val="007B3DD2"/>
    <w:rsid w:val="00820F78"/>
    <w:rsid w:val="00846937"/>
    <w:rsid w:val="00853487"/>
    <w:rsid w:val="008B01AE"/>
    <w:rsid w:val="008B41E2"/>
    <w:rsid w:val="008D71F7"/>
    <w:rsid w:val="008E1C5E"/>
    <w:rsid w:val="008E7889"/>
    <w:rsid w:val="008E7E49"/>
    <w:rsid w:val="008F5CE1"/>
    <w:rsid w:val="008F6EC1"/>
    <w:rsid w:val="00901D3D"/>
    <w:rsid w:val="00921EC9"/>
    <w:rsid w:val="00922C6C"/>
    <w:rsid w:val="00952547"/>
    <w:rsid w:val="009653CF"/>
    <w:rsid w:val="0098053E"/>
    <w:rsid w:val="00986CD1"/>
    <w:rsid w:val="009A40CE"/>
    <w:rsid w:val="009B3EBA"/>
    <w:rsid w:val="009C7D2E"/>
    <w:rsid w:val="00A16C14"/>
    <w:rsid w:val="00A1700E"/>
    <w:rsid w:val="00A379E4"/>
    <w:rsid w:val="00A63FA4"/>
    <w:rsid w:val="00A8041A"/>
    <w:rsid w:val="00A871BE"/>
    <w:rsid w:val="00A93CA4"/>
    <w:rsid w:val="00A93F9D"/>
    <w:rsid w:val="00AA30CC"/>
    <w:rsid w:val="00AE68E2"/>
    <w:rsid w:val="00B06438"/>
    <w:rsid w:val="00B068CB"/>
    <w:rsid w:val="00B13E4C"/>
    <w:rsid w:val="00B157A3"/>
    <w:rsid w:val="00B535F6"/>
    <w:rsid w:val="00B84663"/>
    <w:rsid w:val="00B85AFA"/>
    <w:rsid w:val="00B9028F"/>
    <w:rsid w:val="00BC0295"/>
    <w:rsid w:val="00BC4571"/>
    <w:rsid w:val="00BD43B7"/>
    <w:rsid w:val="00BE048C"/>
    <w:rsid w:val="00BE4E89"/>
    <w:rsid w:val="00C001B2"/>
    <w:rsid w:val="00C01B8B"/>
    <w:rsid w:val="00C06114"/>
    <w:rsid w:val="00C20697"/>
    <w:rsid w:val="00C22282"/>
    <w:rsid w:val="00C3270F"/>
    <w:rsid w:val="00C3400C"/>
    <w:rsid w:val="00C41162"/>
    <w:rsid w:val="00C436DE"/>
    <w:rsid w:val="00C45008"/>
    <w:rsid w:val="00C75D9A"/>
    <w:rsid w:val="00C944ED"/>
    <w:rsid w:val="00CE2189"/>
    <w:rsid w:val="00CF7AAA"/>
    <w:rsid w:val="00D22A38"/>
    <w:rsid w:val="00D47C83"/>
    <w:rsid w:val="00D51C6F"/>
    <w:rsid w:val="00D56AFF"/>
    <w:rsid w:val="00D7546B"/>
    <w:rsid w:val="00D91581"/>
    <w:rsid w:val="00DA0A78"/>
    <w:rsid w:val="00DC3C4D"/>
    <w:rsid w:val="00DD23B6"/>
    <w:rsid w:val="00DD5C11"/>
    <w:rsid w:val="00DF354F"/>
    <w:rsid w:val="00DF3593"/>
    <w:rsid w:val="00E177ED"/>
    <w:rsid w:val="00E263DF"/>
    <w:rsid w:val="00E314B5"/>
    <w:rsid w:val="00E43C70"/>
    <w:rsid w:val="00E537A1"/>
    <w:rsid w:val="00E75CC2"/>
    <w:rsid w:val="00E84E31"/>
    <w:rsid w:val="00E95D76"/>
    <w:rsid w:val="00EA2394"/>
    <w:rsid w:val="00EB2DFC"/>
    <w:rsid w:val="00ED4185"/>
    <w:rsid w:val="00ED5185"/>
    <w:rsid w:val="00ED7558"/>
    <w:rsid w:val="00EE6760"/>
    <w:rsid w:val="00F502F8"/>
    <w:rsid w:val="00F763EB"/>
    <w:rsid w:val="00F835B4"/>
    <w:rsid w:val="00FB0E9D"/>
    <w:rsid w:val="00FB6037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338"/>
  </w:style>
  <w:style w:type="paragraph" w:styleId="Titolo1">
    <w:name w:val="heading 1"/>
    <w:basedOn w:val="Normale"/>
    <w:next w:val="Normale"/>
    <w:link w:val="Titolo1Carattere"/>
    <w:uiPriority w:val="9"/>
    <w:qFormat/>
    <w:rsid w:val="007B3DD2"/>
    <w:pPr>
      <w:keepNext/>
      <w:keepLines/>
      <w:numPr>
        <w:numId w:val="3"/>
      </w:numPr>
      <w:spacing w:after="0"/>
      <w:outlineLvl w:val="0"/>
    </w:pPr>
    <w:rPr>
      <w:rFonts w:asciiTheme="majorHAnsi" w:eastAsiaTheme="majorEastAsia" w:hAnsiTheme="majorHAnsi" w:cstheme="majorBidi"/>
      <w:b/>
      <w:color w:val="0C203E" w:themeColor="accent1" w:themeShade="BF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basedOn w:val="Normale"/>
    <w:qFormat/>
    <w:rsid w:val="00A63FA4"/>
    <w:pPr>
      <w:spacing w:after="0"/>
    </w:pPr>
    <w:rPr>
      <w:rFonts w:ascii="Manrope" w:hAnsi="Manrope" w:cs="Frank Ruhl Libre"/>
      <w:sz w:val="20"/>
      <w:szCs w:val="20"/>
    </w:rPr>
  </w:style>
  <w:style w:type="paragraph" w:customStyle="1" w:styleId="Footer">
    <w:name w:val="_Footer"/>
    <w:basedOn w:val="Normale"/>
    <w:qFormat/>
    <w:rsid w:val="005A72D6"/>
    <w:pPr>
      <w:tabs>
        <w:tab w:val="right" w:pos="9638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BodySPAZIO">
    <w:name w:val="_Body_SPAZIO"/>
    <w:basedOn w:val="Body"/>
    <w:qFormat/>
    <w:rsid w:val="00A1700E"/>
    <w:pPr>
      <w:spacing w:after="200"/>
    </w:pPr>
    <w:rPr>
      <w:lang w:val="en-GB"/>
    </w:rPr>
  </w:style>
  <w:style w:type="paragraph" w:customStyle="1" w:styleId="titolo10">
    <w:name w:val="_titolo1"/>
    <w:basedOn w:val="BodySPAZIO"/>
    <w:next w:val="Body"/>
    <w:qFormat/>
    <w:rsid w:val="00EE676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0"/>
    <w:next w:val="Body"/>
    <w:qFormat/>
    <w:rsid w:val="00EE6760"/>
    <w:pPr>
      <w:spacing w:before="400"/>
    </w:pPr>
    <w:rPr>
      <w:sz w:val="32"/>
    </w:rPr>
  </w:style>
  <w:style w:type="paragraph" w:customStyle="1" w:styleId="Titolo3">
    <w:name w:val="_Titolo3"/>
    <w:basedOn w:val="titolo10"/>
    <w:next w:val="Body"/>
    <w:qFormat/>
    <w:rsid w:val="00EE6760"/>
    <w:pPr>
      <w:spacing w:before="400"/>
    </w:pPr>
    <w:rPr>
      <w:sz w:val="24"/>
      <w:szCs w:val="14"/>
      <w:lang w:val="it-IT"/>
    </w:rPr>
  </w:style>
  <w:style w:type="paragraph" w:customStyle="1" w:styleId="ELENCOul">
    <w:name w:val="_ELENCO_ul"/>
    <w:basedOn w:val="BodySPAZIO"/>
    <w:qFormat/>
    <w:rsid w:val="009A40CE"/>
    <w:pPr>
      <w:numPr>
        <w:numId w:val="1"/>
      </w:numPr>
      <w:spacing w:after="0"/>
      <w:ind w:left="360"/>
    </w:pPr>
  </w:style>
  <w:style w:type="paragraph" w:customStyle="1" w:styleId="ELENCOol">
    <w:name w:val="_ELENCO_ol"/>
    <w:basedOn w:val="ELENCOul"/>
    <w:qFormat/>
    <w:rsid w:val="009A40CE"/>
    <w:pPr>
      <w:numPr>
        <w:numId w:val="2"/>
      </w:numPr>
      <w:ind w:left="360"/>
    </w:pPr>
  </w:style>
  <w:style w:type="paragraph" w:customStyle="1" w:styleId="ELENCOul2livello">
    <w:name w:val="_ELENCO_ul_2livello"/>
    <w:basedOn w:val="ELENCOul"/>
    <w:qFormat/>
    <w:rsid w:val="009A40CE"/>
    <w:pPr>
      <w:numPr>
        <w:ilvl w:val="1"/>
        <w:numId w:val="2"/>
      </w:numPr>
      <w:ind w:left="723"/>
    </w:pPr>
  </w:style>
  <w:style w:type="paragraph" w:customStyle="1" w:styleId="Titolo4">
    <w:name w:val="_Titolo4"/>
    <w:basedOn w:val="titolo10"/>
    <w:next w:val="Body"/>
    <w:qFormat/>
    <w:rsid w:val="006B7C72"/>
    <w:pPr>
      <w:spacing w:before="400"/>
    </w:pPr>
    <w:rPr>
      <w:caps/>
      <w:sz w:val="18"/>
      <w:szCs w:val="8"/>
      <w:lang w:val="it-IT"/>
    </w:rPr>
  </w:style>
  <w:style w:type="table" w:styleId="Grigliatabella">
    <w:name w:val="Table Grid"/>
    <w:basedOn w:val="Tabellanormale"/>
    <w:uiPriority w:val="39"/>
    <w:rsid w:val="00BC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statina">
    <w:name w:val="_TAB_testatina"/>
    <w:basedOn w:val="Body"/>
    <w:qFormat/>
    <w:rsid w:val="004E7AB7"/>
    <w:pPr>
      <w:spacing w:line="240" w:lineRule="auto"/>
      <w:jc w:val="right"/>
    </w:pPr>
    <w:rPr>
      <w:b/>
      <w:bCs/>
    </w:rPr>
  </w:style>
  <w:style w:type="paragraph" w:customStyle="1" w:styleId="TABbody">
    <w:name w:val="_TAB_body"/>
    <w:basedOn w:val="Body"/>
    <w:qFormat/>
    <w:rsid w:val="004E7AB7"/>
    <w:pPr>
      <w:spacing w:line="240" w:lineRule="auto"/>
    </w:pPr>
  </w:style>
  <w:style w:type="paragraph" w:customStyle="1" w:styleId="TABnote">
    <w:name w:val="_TAB_note"/>
    <w:basedOn w:val="Body"/>
    <w:qFormat/>
    <w:rsid w:val="00322693"/>
    <w:pPr>
      <w:spacing w:before="240" w:after="360"/>
    </w:pPr>
    <w:rPr>
      <w:color w:val="7F7F7F" w:themeColor="text1" w:themeTint="80"/>
      <w:sz w:val="16"/>
      <w:szCs w:val="16"/>
      <w:lang w:val="en-GB"/>
    </w:rPr>
  </w:style>
  <w:style w:type="paragraph" w:customStyle="1" w:styleId="spazio20">
    <w:name w:val="_spazio_20"/>
    <w:basedOn w:val="Normale"/>
    <w:rsid w:val="002F3687"/>
    <w:pPr>
      <w:spacing w:after="400" w:line="240" w:lineRule="auto"/>
    </w:pPr>
    <w:rPr>
      <w:rFonts w:ascii="Frank Ruhl Libre" w:hAnsi="Frank Ruhl Libre" w:cs="Frank Ruhl Libre"/>
    </w:rPr>
  </w:style>
  <w:style w:type="character" w:styleId="Testosegnaposto">
    <w:name w:val="Placeholder Text"/>
    <w:basedOn w:val="Carpredefinitoparagrafo"/>
    <w:uiPriority w:val="99"/>
    <w:semiHidden/>
    <w:rsid w:val="0038657B"/>
    <w:rPr>
      <w:color w:val="808080"/>
    </w:rPr>
  </w:style>
  <w:style w:type="paragraph" w:customStyle="1" w:styleId="FooterSX">
    <w:name w:val="_Footer_SX"/>
    <w:basedOn w:val="Normale"/>
    <w:qFormat/>
    <w:rsid w:val="000C7E89"/>
    <w:pPr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paragraph" w:customStyle="1" w:styleId="Data">
    <w:name w:val="_Data"/>
    <w:basedOn w:val="Body"/>
    <w:qFormat/>
    <w:rsid w:val="003254D0"/>
    <w:pPr>
      <w:spacing w:after="2760"/>
      <w:jc w:val="right"/>
    </w:pPr>
  </w:style>
  <w:style w:type="paragraph" w:customStyle="1" w:styleId="usoboll1">
    <w:name w:val="usoboll1"/>
    <w:basedOn w:val="Normale"/>
    <w:link w:val="usoboll1Carattere"/>
    <w:qFormat/>
    <w:rsid w:val="00D51C6F"/>
    <w:pPr>
      <w:widowControl w:val="0"/>
      <w:spacing w:after="0" w:line="482" w:lineRule="atLeast"/>
      <w:jc w:val="both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usoboll1Carattere">
    <w:name w:val="usoboll1 Carattere"/>
    <w:link w:val="usoboll1"/>
    <w:rsid w:val="00D51C6F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67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C67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67FD"/>
    <w:rPr>
      <w:vertAlign w:val="superscript"/>
    </w:rPr>
  </w:style>
  <w:style w:type="character" w:customStyle="1" w:styleId="NoSpacingChar">
    <w:name w:val="No Spacing Char"/>
    <w:qFormat/>
    <w:rsid w:val="00AA30CC"/>
    <w:rPr>
      <w:sz w:val="22"/>
      <w:szCs w:val="22"/>
      <w:lang w:val="it-IT" w:eastAsia="en-US" w:bidi="ar-SA"/>
    </w:rPr>
  </w:style>
  <w:style w:type="character" w:customStyle="1" w:styleId="Saltoaindice">
    <w:name w:val="Salto a indice"/>
    <w:qFormat/>
    <w:rsid w:val="00901D3D"/>
  </w:style>
  <w:style w:type="paragraph" w:styleId="Sommario1">
    <w:name w:val="toc 1"/>
    <w:basedOn w:val="Normale"/>
    <w:next w:val="Normale"/>
    <w:autoRedefine/>
    <w:uiPriority w:val="39"/>
    <w:rsid w:val="008B41E2"/>
    <w:pPr>
      <w:tabs>
        <w:tab w:val="left" w:leader="dot" w:pos="284"/>
        <w:tab w:val="right" w:leader="dot" w:pos="9629"/>
      </w:tabs>
      <w:spacing w:after="0" w:line="276" w:lineRule="auto"/>
    </w:pPr>
    <w:rPr>
      <w:rFonts w:ascii="Manrope" w:eastAsia="Times New Roman" w:hAnsi="Manrope" w:cs="Times New Roman"/>
      <w:bCs/>
      <w:sz w:val="20"/>
      <w:szCs w:val="20"/>
    </w:rPr>
  </w:style>
  <w:style w:type="paragraph" w:styleId="Sommario2">
    <w:name w:val="toc 2"/>
    <w:basedOn w:val="Normale"/>
    <w:next w:val="Sommario3"/>
    <w:autoRedefine/>
    <w:uiPriority w:val="39"/>
    <w:rsid w:val="00901D3D"/>
    <w:pPr>
      <w:tabs>
        <w:tab w:val="left" w:pos="440"/>
        <w:tab w:val="right" w:leader="dot" w:pos="9629"/>
      </w:tabs>
      <w:spacing w:after="0" w:line="336" w:lineRule="auto"/>
      <w:ind w:left="442" w:hanging="442"/>
      <w:jc w:val="both"/>
    </w:pPr>
    <w:rPr>
      <w:rFonts w:ascii="Garamond" w:eastAsia="Times New Roman" w:hAnsi="Garamond" w:cs="Times New Roman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901D3D"/>
    <w:pPr>
      <w:tabs>
        <w:tab w:val="left" w:pos="1100"/>
        <w:tab w:val="right" w:leader="dot" w:pos="9629"/>
      </w:tabs>
      <w:spacing w:after="0" w:line="240" w:lineRule="auto"/>
      <w:ind w:left="896" w:hanging="454"/>
    </w:pPr>
    <w:rPr>
      <w:rFonts w:ascii="Garamond" w:eastAsia="Times New Roman" w:hAnsi="Garamond" w:cs="Times New Roman"/>
      <w:i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DD2"/>
    <w:rPr>
      <w:rFonts w:asciiTheme="majorHAnsi" w:eastAsiaTheme="majorEastAsia" w:hAnsiTheme="majorHAnsi" w:cstheme="majorBidi"/>
      <w:b/>
      <w:color w:val="0C203E" w:themeColor="accent1" w:themeShade="BF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F7B68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limi_2024_manrope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manrope" id="{F4E20072-344B-4FAF-A955-9560C773AA92}" vid="{82CBF29D-0F56-4C9B-BCD6-6E169D1744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67F41E32AD944903CA9E447462620" ma:contentTypeVersion="12" ma:contentTypeDescription="Creare un nuovo documento." ma:contentTypeScope="" ma:versionID="b821fca97b300f972c02290925499425">
  <xsd:schema xmlns:xsd="http://www.w3.org/2001/XMLSchema" xmlns:xs="http://www.w3.org/2001/XMLSchema" xmlns:p="http://schemas.microsoft.com/office/2006/metadata/properties" xmlns:ns2="38cd69a3-c9dc-4aff-9004-077ff368026e" xmlns:ns3="b3889a89-2bfb-4cb6-aa24-210fc7f90260" targetNamespace="http://schemas.microsoft.com/office/2006/metadata/properties" ma:root="true" ma:fieldsID="bbcc18fba50dceeb92d9a6f270c49402" ns2:_="" ns3:_="">
    <xsd:import namespace="38cd69a3-c9dc-4aff-9004-077ff368026e"/>
    <xsd:import namespace="b3889a89-2bfb-4cb6-aa24-210fc7f90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9a3-c9dc-4aff-9004-077ff36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9a89-2bfb-4cb6-aa24-210fc7f90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4df09-ca6f-4ed9-a7f3-04f637a6a423}" ma:internalName="TaxCatchAll" ma:showField="CatchAllData" ma:web="b3889a89-2bfb-4cb6-aa24-210fc7f90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d69a3-c9dc-4aff-9004-077ff368026e">
      <Terms xmlns="http://schemas.microsoft.com/office/infopath/2007/PartnerControls"/>
    </lcf76f155ced4ddcb4097134ff3c332f>
    <TaxCatchAll xmlns="b3889a89-2bfb-4cb6-aa24-210fc7f9026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067F6-B33E-4A48-A965-ED48B8D6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9a3-c9dc-4aff-9004-077ff368026e"/>
    <ds:schemaRef ds:uri="b3889a89-2bfb-4cb6-aa24-210fc7f90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F04A4-4627-48A5-B46E-C2FC57DE9A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AD7D1A-B8B7-4691-A586-DA4373866DA2}">
  <ds:schemaRefs>
    <ds:schemaRef ds:uri="http://schemas.microsoft.com/office/2006/metadata/properties"/>
    <ds:schemaRef ds:uri="http://schemas.microsoft.com/office/infopath/2007/PartnerControls"/>
    <ds:schemaRef ds:uri="38cd69a3-c9dc-4aff-9004-077ff368026e"/>
    <ds:schemaRef ds:uri="b3889a89-2bfb-4cb6-aa24-210fc7f90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Clara Taverna</cp:lastModifiedBy>
  <cp:revision>16</cp:revision>
  <cp:lastPrinted>2024-03-05T15:14:00Z</cp:lastPrinted>
  <dcterms:created xsi:type="dcterms:W3CDTF">2025-05-30T13:34:00Z</dcterms:created>
  <dcterms:modified xsi:type="dcterms:W3CDTF">2026-06-30T12:35:00Z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0x0101004A667F41E32AD944903CA9E447462620</vt:lpwstr>
  </property>
</Properties>
</file>